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83" w:rsidRPr="008B5BA8" w:rsidRDefault="00E53F83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8B5BA8" w:rsidRPr="008B5BA8" w:rsidRDefault="008B5BA8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E53F83" w:rsidRPr="008B5BA8" w:rsidRDefault="00E53F83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E53F83" w:rsidRPr="008B5BA8" w:rsidRDefault="00E53F83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E53F83" w:rsidRPr="008B5BA8" w:rsidRDefault="00E53F83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C27FCF" w:rsidRPr="008B5BA8" w:rsidRDefault="00C27FCF" w:rsidP="00C27FCF">
      <w:pPr>
        <w:spacing w:after="0" w:line="360" w:lineRule="auto"/>
        <w:jc w:val="center"/>
        <w:rPr>
          <w:rFonts w:ascii="Arial Narrow" w:hAnsi="Arial Narrow"/>
          <w:b/>
          <w:sz w:val="23"/>
          <w:szCs w:val="23"/>
        </w:rPr>
      </w:pPr>
    </w:p>
    <w:p w:rsidR="00C27FCF" w:rsidRPr="00EB2E8C" w:rsidRDefault="00C27FCF" w:rsidP="00C27FCF">
      <w:pPr>
        <w:spacing w:after="0" w:line="360" w:lineRule="auto"/>
        <w:jc w:val="center"/>
        <w:rPr>
          <w:rFonts w:ascii="Arial Narrow" w:hAnsi="Arial Narrow"/>
          <w:b/>
        </w:rPr>
      </w:pPr>
    </w:p>
    <w:p w:rsidR="00C27FCF" w:rsidRDefault="00EB2E8C" w:rsidP="00EB2E8C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EB2E8C">
        <w:rPr>
          <w:rFonts w:ascii="Arial Narrow" w:hAnsi="Arial Narrow"/>
          <w:b/>
          <w:sz w:val="24"/>
        </w:rPr>
        <w:t>DIL LIMITED</w:t>
      </w:r>
    </w:p>
    <w:p w:rsidR="00EB2E8C" w:rsidRPr="00EB2E8C" w:rsidRDefault="00EB2E8C" w:rsidP="00EB2E8C">
      <w:pPr>
        <w:spacing w:after="0" w:line="360" w:lineRule="auto"/>
        <w:jc w:val="center"/>
        <w:rPr>
          <w:rFonts w:ascii="Arial Narrow" w:hAnsi="Arial Narrow"/>
          <w:b/>
          <w:sz w:val="24"/>
        </w:rPr>
      </w:pPr>
    </w:p>
    <w:p w:rsidR="00DF45AA" w:rsidRPr="00EB2E8C" w:rsidRDefault="00E53F83" w:rsidP="00C27FCF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EB2E8C">
        <w:rPr>
          <w:rFonts w:ascii="Arial Narrow" w:hAnsi="Arial Narrow"/>
          <w:b/>
          <w:sz w:val="24"/>
        </w:rPr>
        <w:t>POLICY FOR</w:t>
      </w:r>
      <w:r w:rsidR="00EC433E" w:rsidRPr="00EB2E8C">
        <w:rPr>
          <w:rFonts w:ascii="Arial Narrow" w:hAnsi="Arial Narrow"/>
          <w:b/>
          <w:sz w:val="24"/>
        </w:rPr>
        <w:t xml:space="preserve"> DETERMINING MATERIAL SUBSIDIARIES</w:t>
      </w:r>
    </w:p>
    <w:p w:rsidR="00E32CD9" w:rsidRPr="00EB2E8C" w:rsidRDefault="00E32CD9" w:rsidP="00C27FCF">
      <w:pPr>
        <w:spacing w:after="0" w:line="360" w:lineRule="auto"/>
        <w:jc w:val="center"/>
        <w:rPr>
          <w:rFonts w:ascii="Arial Narrow" w:hAnsi="Arial Narrow"/>
          <w:sz w:val="24"/>
        </w:rPr>
      </w:pPr>
      <w:r w:rsidRPr="00EB2E8C">
        <w:rPr>
          <w:rFonts w:ascii="Arial Narrow" w:hAnsi="Arial Narrow"/>
          <w:sz w:val="24"/>
        </w:rPr>
        <w:t xml:space="preserve">[Pursuant to </w:t>
      </w:r>
      <w:r w:rsidR="00EB2E8C" w:rsidRPr="00EB2E8C">
        <w:rPr>
          <w:rFonts w:ascii="Arial Narrow" w:hAnsi="Arial Narrow"/>
          <w:sz w:val="24"/>
        </w:rPr>
        <w:t>Regulation 16(1</w:t>
      </w:r>
      <w:proofErr w:type="gramStart"/>
      <w:r w:rsidR="00EB2E8C" w:rsidRPr="00EB2E8C">
        <w:rPr>
          <w:rFonts w:ascii="Arial Narrow" w:hAnsi="Arial Narrow"/>
          <w:sz w:val="24"/>
        </w:rPr>
        <w:t>)(</w:t>
      </w:r>
      <w:proofErr w:type="gramEnd"/>
      <w:r w:rsidR="00EB2E8C" w:rsidRPr="00EB2E8C">
        <w:rPr>
          <w:rFonts w:ascii="Arial Narrow" w:hAnsi="Arial Narrow"/>
          <w:sz w:val="24"/>
        </w:rPr>
        <w:t>c)</w:t>
      </w:r>
      <w:r w:rsidRPr="00EB2E8C">
        <w:rPr>
          <w:rFonts w:ascii="Arial Narrow" w:hAnsi="Arial Narrow"/>
          <w:sz w:val="24"/>
        </w:rPr>
        <w:t xml:space="preserve"> of </w:t>
      </w:r>
      <w:r w:rsidR="00EB2E8C" w:rsidRPr="00EB2E8C">
        <w:rPr>
          <w:rFonts w:ascii="Arial Narrow" w:hAnsi="Arial Narrow"/>
          <w:sz w:val="24"/>
        </w:rPr>
        <w:t>Securities and Exchange Board of India (Listing Obligations and Disclosure Requirements) Regulations, 2015</w:t>
      </w:r>
      <w:r w:rsidRPr="00EB2E8C">
        <w:rPr>
          <w:rFonts w:ascii="Arial Narrow" w:hAnsi="Arial Narrow"/>
          <w:sz w:val="24"/>
        </w:rPr>
        <w:t>]</w:t>
      </w:r>
    </w:p>
    <w:p w:rsidR="00E32CD9" w:rsidRPr="008B5BA8" w:rsidRDefault="00E32CD9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E32CD9" w:rsidRPr="008B5BA8" w:rsidRDefault="00E32CD9" w:rsidP="00C27FCF">
      <w:pPr>
        <w:spacing w:after="0" w:line="360" w:lineRule="auto"/>
        <w:jc w:val="center"/>
        <w:rPr>
          <w:rFonts w:ascii="Arial Narrow" w:hAnsi="Arial Narrow"/>
          <w:sz w:val="23"/>
          <w:szCs w:val="23"/>
        </w:rPr>
      </w:pPr>
    </w:p>
    <w:p w:rsidR="00E53F83" w:rsidRPr="008B5BA8" w:rsidRDefault="00E53F83" w:rsidP="00C27FCF">
      <w:pPr>
        <w:spacing w:after="0" w:line="360" w:lineRule="auto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br w:type="page"/>
      </w:r>
    </w:p>
    <w:p w:rsidR="00E53F83" w:rsidRPr="008B5BA8" w:rsidRDefault="00E53F83" w:rsidP="00C27FCF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lastRenderedPageBreak/>
        <w:t>Preamble:</w:t>
      </w:r>
    </w:p>
    <w:p w:rsidR="00C27FCF" w:rsidRPr="008B5BA8" w:rsidRDefault="00C27FCF" w:rsidP="00C27FCF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</w:p>
    <w:p w:rsidR="00F65505" w:rsidRPr="008B5BA8" w:rsidRDefault="00EB2E8C" w:rsidP="00C27FCF">
      <w:pPr>
        <w:spacing w:after="0" w:line="360" w:lineRule="auto"/>
        <w:ind w:left="709"/>
        <w:jc w:val="both"/>
        <w:rPr>
          <w:rFonts w:ascii="Arial Narrow" w:hAnsi="Arial Narrow"/>
          <w:sz w:val="23"/>
          <w:szCs w:val="23"/>
        </w:rPr>
      </w:pPr>
      <w:r w:rsidRPr="00EB2E8C">
        <w:rPr>
          <w:rFonts w:ascii="Arial Narrow" w:hAnsi="Arial Narrow"/>
          <w:sz w:val="23"/>
          <w:szCs w:val="23"/>
        </w:rPr>
        <w:t>Pursuant to the provisions</w:t>
      </w:r>
      <w:r w:rsidR="00752182">
        <w:rPr>
          <w:rFonts w:ascii="Arial Narrow" w:hAnsi="Arial Narrow"/>
          <w:sz w:val="23"/>
          <w:szCs w:val="23"/>
        </w:rPr>
        <w:t xml:space="preserve"> of Clause (c) of sub-regulation (1) of Regulation 16</w:t>
      </w:r>
      <w:r w:rsidRPr="00EB2E8C">
        <w:rPr>
          <w:rFonts w:ascii="Arial Narrow" w:hAnsi="Arial Narrow"/>
          <w:sz w:val="23"/>
          <w:szCs w:val="23"/>
        </w:rPr>
        <w:t xml:space="preserve"> of </w:t>
      </w:r>
      <w:r w:rsidR="00245C99">
        <w:rPr>
          <w:rFonts w:ascii="Arial Narrow" w:hAnsi="Arial Narrow"/>
          <w:sz w:val="23"/>
          <w:szCs w:val="23"/>
        </w:rPr>
        <w:t xml:space="preserve">the newly </w:t>
      </w:r>
      <w:r w:rsidRPr="00EB2E8C">
        <w:rPr>
          <w:rFonts w:ascii="Arial Narrow" w:hAnsi="Arial Narrow"/>
          <w:sz w:val="23"/>
          <w:szCs w:val="23"/>
        </w:rPr>
        <w:t xml:space="preserve">Securities and Exchange Board of India (Listing Obligations and Disclosure </w:t>
      </w:r>
      <w:r>
        <w:rPr>
          <w:rFonts w:ascii="Arial Narrow" w:hAnsi="Arial Narrow"/>
          <w:sz w:val="23"/>
          <w:szCs w:val="23"/>
        </w:rPr>
        <w:t>Requirements) Regulations, 2015</w:t>
      </w:r>
      <w:r w:rsidR="00752182">
        <w:rPr>
          <w:rFonts w:ascii="Arial Narrow" w:hAnsi="Arial Narrow"/>
          <w:sz w:val="23"/>
          <w:szCs w:val="23"/>
        </w:rPr>
        <w:t xml:space="preserve"> </w:t>
      </w:r>
      <w:r w:rsidR="00752182" w:rsidRPr="00752182">
        <w:rPr>
          <w:rFonts w:ascii="Arial Narrow" w:hAnsi="Arial Narrow"/>
          <w:sz w:val="23"/>
          <w:szCs w:val="23"/>
        </w:rPr>
        <w:t xml:space="preserve">as may be enacted or amended from time to time (Listing Regulations), the Company’s Board of Directors </w:t>
      </w:r>
      <w:r w:rsidR="00752182">
        <w:rPr>
          <w:rFonts w:ascii="Arial Narrow" w:hAnsi="Arial Narrow"/>
          <w:sz w:val="23"/>
          <w:szCs w:val="23"/>
        </w:rPr>
        <w:t xml:space="preserve">on the recommendation of the Audit Committee </w:t>
      </w:r>
      <w:r w:rsidR="00752182" w:rsidRPr="00752182">
        <w:rPr>
          <w:rFonts w:ascii="Arial Narrow" w:hAnsi="Arial Narrow"/>
          <w:sz w:val="23"/>
          <w:szCs w:val="23"/>
        </w:rPr>
        <w:t>has formulated and adopted this policy</w:t>
      </w:r>
      <w:r w:rsidR="00245C99">
        <w:rPr>
          <w:rFonts w:ascii="Arial Narrow" w:hAnsi="Arial Narrow"/>
          <w:sz w:val="23"/>
          <w:szCs w:val="23"/>
        </w:rPr>
        <w:t xml:space="preserve"> (in substitution of the existing </w:t>
      </w:r>
      <w:r w:rsidR="0022421A">
        <w:rPr>
          <w:rFonts w:ascii="Arial Narrow" w:hAnsi="Arial Narrow"/>
          <w:sz w:val="23"/>
          <w:szCs w:val="23"/>
        </w:rPr>
        <w:t xml:space="preserve">Policy </w:t>
      </w:r>
      <w:r w:rsidR="00245C99" w:rsidRPr="00245C99">
        <w:rPr>
          <w:rFonts w:ascii="Arial Narrow" w:hAnsi="Arial Narrow"/>
          <w:sz w:val="23"/>
          <w:szCs w:val="23"/>
        </w:rPr>
        <w:t>for determining Material Subsidiaries</w:t>
      </w:r>
      <w:r w:rsidR="00245C99">
        <w:rPr>
          <w:rFonts w:ascii="Arial Narrow" w:hAnsi="Arial Narrow"/>
          <w:sz w:val="23"/>
          <w:szCs w:val="23"/>
        </w:rPr>
        <w:t>)</w:t>
      </w:r>
      <w:r>
        <w:rPr>
          <w:rFonts w:ascii="Arial Narrow" w:hAnsi="Arial Narrow"/>
          <w:sz w:val="23"/>
          <w:szCs w:val="23"/>
        </w:rPr>
        <w:t xml:space="preserve">. </w:t>
      </w:r>
    </w:p>
    <w:p w:rsidR="00F65505" w:rsidRPr="008B5BA8" w:rsidRDefault="00F65505" w:rsidP="00C27FCF">
      <w:pPr>
        <w:spacing w:after="0" w:line="360" w:lineRule="auto"/>
        <w:ind w:left="709" w:hanging="720"/>
        <w:jc w:val="both"/>
        <w:rPr>
          <w:rFonts w:ascii="Arial Narrow" w:hAnsi="Arial Narrow"/>
          <w:sz w:val="23"/>
          <w:szCs w:val="23"/>
        </w:rPr>
      </w:pPr>
    </w:p>
    <w:p w:rsidR="00F65505" w:rsidRPr="008B5BA8" w:rsidRDefault="00F65505" w:rsidP="00C27FCF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Applicability:</w:t>
      </w:r>
    </w:p>
    <w:p w:rsidR="00BF4039" w:rsidRPr="008B5BA8" w:rsidRDefault="00BF4039" w:rsidP="00C27FCF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E53F83" w:rsidRPr="008B5BA8" w:rsidRDefault="00F65505" w:rsidP="00C27FCF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The Policy </w:t>
      </w:r>
      <w:r w:rsidR="00BF4039" w:rsidRPr="008B5BA8">
        <w:rPr>
          <w:rFonts w:ascii="Arial Narrow" w:hAnsi="Arial Narrow"/>
          <w:sz w:val="23"/>
          <w:szCs w:val="23"/>
        </w:rPr>
        <w:t xml:space="preserve">is </w:t>
      </w:r>
      <w:r w:rsidRPr="008B5BA8">
        <w:rPr>
          <w:rFonts w:ascii="Arial Narrow" w:hAnsi="Arial Narrow"/>
          <w:sz w:val="23"/>
          <w:szCs w:val="23"/>
        </w:rPr>
        <w:t>effect</w:t>
      </w:r>
      <w:r w:rsidR="00BF4039" w:rsidRPr="008B5BA8">
        <w:rPr>
          <w:rFonts w:ascii="Arial Narrow" w:hAnsi="Arial Narrow"/>
          <w:sz w:val="23"/>
          <w:szCs w:val="23"/>
        </w:rPr>
        <w:t>ive</w:t>
      </w:r>
      <w:r w:rsidRPr="008B5BA8">
        <w:rPr>
          <w:rFonts w:ascii="Arial Narrow" w:hAnsi="Arial Narrow"/>
          <w:sz w:val="23"/>
          <w:szCs w:val="23"/>
        </w:rPr>
        <w:t> from </w:t>
      </w:r>
      <w:r w:rsidR="00752182">
        <w:rPr>
          <w:rFonts w:ascii="Arial Narrow" w:hAnsi="Arial Narrow"/>
          <w:sz w:val="23"/>
          <w:szCs w:val="23"/>
        </w:rPr>
        <w:t>December 01, 2015</w:t>
      </w:r>
      <w:r w:rsidRPr="008B5BA8">
        <w:rPr>
          <w:rFonts w:ascii="Arial Narrow" w:hAnsi="Arial Narrow"/>
          <w:sz w:val="23"/>
          <w:szCs w:val="23"/>
        </w:rPr>
        <w:t>. </w:t>
      </w:r>
    </w:p>
    <w:p w:rsidR="00B06DB2" w:rsidRPr="008B5BA8" w:rsidRDefault="00B06DB2" w:rsidP="00C27FCF">
      <w:pPr>
        <w:pStyle w:val="ListParagraph"/>
        <w:spacing w:after="0" w:line="360" w:lineRule="auto"/>
        <w:ind w:hanging="720"/>
        <w:jc w:val="both"/>
        <w:rPr>
          <w:rFonts w:ascii="Arial Narrow" w:hAnsi="Arial Narrow"/>
          <w:sz w:val="23"/>
          <w:szCs w:val="23"/>
        </w:rPr>
      </w:pPr>
    </w:p>
    <w:p w:rsidR="00E53F83" w:rsidRPr="008B5BA8" w:rsidRDefault="00C27FCF" w:rsidP="00264DD9">
      <w:pPr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 xml:space="preserve"> </w:t>
      </w:r>
      <w:r w:rsidR="00F65505" w:rsidRPr="008B5BA8">
        <w:rPr>
          <w:rFonts w:ascii="Arial Narrow" w:hAnsi="Arial Narrow"/>
          <w:b/>
          <w:sz w:val="23"/>
          <w:szCs w:val="23"/>
        </w:rPr>
        <w:t>3</w:t>
      </w:r>
      <w:r w:rsidR="00E53F83" w:rsidRPr="008B5BA8">
        <w:rPr>
          <w:rFonts w:ascii="Arial Narrow" w:hAnsi="Arial Narrow"/>
          <w:b/>
          <w:sz w:val="23"/>
          <w:szCs w:val="23"/>
        </w:rPr>
        <w:t xml:space="preserve">. </w:t>
      </w:r>
      <w:r w:rsidR="00F65505" w:rsidRPr="008B5BA8">
        <w:rPr>
          <w:rFonts w:ascii="Arial Narrow" w:hAnsi="Arial Narrow"/>
          <w:b/>
          <w:sz w:val="23"/>
          <w:szCs w:val="23"/>
        </w:rPr>
        <w:t xml:space="preserve"> </w:t>
      </w:r>
      <w:r w:rsidRPr="008B5BA8">
        <w:rPr>
          <w:rFonts w:ascii="Arial Narrow" w:hAnsi="Arial Narrow"/>
          <w:b/>
          <w:sz w:val="23"/>
          <w:szCs w:val="23"/>
        </w:rPr>
        <w:tab/>
      </w:r>
      <w:r w:rsidR="00E53F83" w:rsidRPr="008B5BA8">
        <w:rPr>
          <w:rFonts w:ascii="Arial Narrow" w:hAnsi="Arial Narrow"/>
          <w:b/>
          <w:sz w:val="23"/>
          <w:szCs w:val="23"/>
        </w:rPr>
        <w:t>Definition</w:t>
      </w:r>
      <w:r w:rsidR="00214D24" w:rsidRPr="008B5BA8">
        <w:rPr>
          <w:rFonts w:ascii="Arial Narrow" w:hAnsi="Arial Narrow"/>
          <w:b/>
          <w:sz w:val="23"/>
          <w:szCs w:val="23"/>
        </w:rPr>
        <w:t>s</w:t>
      </w:r>
      <w:r w:rsidR="00E53F83" w:rsidRPr="008B5BA8">
        <w:rPr>
          <w:rFonts w:ascii="Arial Narrow" w:hAnsi="Arial Narrow"/>
          <w:b/>
          <w:sz w:val="23"/>
          <w:szCs w:val="23"/>
        </w:rPr>
        <w:t>:</w:t>
      </w:r>
    </w:p>
    <w:p w:rsidR="00C27FCF" w:rsidRPr="008B5BA8" w:rsidRDefault="00C27FCF" w:rsidP="00C27FCF">
      <w:pPr>
        <w:spacing w:after="0" w:line="360" w:lineRule="auto"/>
        <w:ind w:hanging="180"/>
        <w:jc w:val="both"/>
        <w:rPr>
          <w:rFonts w:ascii="Arial Narrow" w:hAnsi="Arial Narrow"/>
          <w:b/>
          <w:sz w:val="23"/>
          <w:szCs w:val="23"/>
        </w:rPr>
      </w:pPr>
    </w:p>
    <w:p w:rsidR="000B1542" w:rsidRPr="008B5BA8" w:rsidRDefault="00E53F83" w:rsidP="008B5BA8">
      <w:pPr>
        <w:pStyle w:val="ListParagraph"/>
        <w:numPr>
          <w:ilvl w:val="0"/>
          <w:numId w:val="11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“Act”</w:t>
      </w:r>
      <w:r w:rsidR="008F5AF1" w:rsidRPr="008B5BA8">
        <w:rPr>
          <w:rFonts w:ascii="Arial Narrow" w:hAnsi="Arial Narrow"/>
          <w:sz w:val="23"/>
          <w:szCs w:val="23"/>
        </w:rPr>
        <w:t> mea</w:t>
      </w:r>
      <w:r w:rsidR="006601AD">
        <w:rPr>
          <w:rFonts w:ascii="Arial Narrow" w:hAnsi="Arial Narrow"/>
          <w:sz w:val="23"/>
          <w:szCs w:val="23"/>
        </w:rPr>
        <w:t>ns Companies Act,</w:t>
      </w:r>
      <w:r w:rsidR="00963658">
        <w:rPr>
          <w:rFonts w:ascii="Arial Narrow" w:hAnsi="Arial Narrow"/>
          <w:sz w:val="23"/>
          <w:szCs w:val="23"/>
        </w:rPr>
        <w:t xml:space="preserve"> </w:t>
      </w:r>
      <w:r w:rsidRPr="008B5BA8">
        <w:rPr>
          <w:rFonts w:ascii="Arial Narrow" w:hAnsi="Arial Narrow"/>
          <w:sz w:val="23"/>
          <w:szCs w:val="23"/>
        </w:rPr>
        <w:t>2013 including any statutory modification or re</w:t>
      </w:r>
      <w:r w:rsidRPr="008B5BA8">
        <w:rPr>
          <w:sz w:val="23"/>
          <w:szCs w:val="23"/>
        </w:rPr>
        <w:t>‐</w:t>
      </w:r>
      <w:r w:rsidRPr="008B5BA8">
        <w:rPr>
          <w:rFonts w:ascii="Arial Narrow" w:hAnsi="Arial Narrow"/>
          <w:sz w:val="23"/>
          <w:szCs w:val="23"/>
        </w:rPr>
        <w:t>enactment thereof. </w:t>
      </w:r>
    </w:p>
    <w:p w:rsidR="00250AE5" w:rsidRPr="00752182" w:rsidRDefault="00250AE5" w:rsidP="00752182">
      <w:pPr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250AE5" w:rsidRPr="008B5BA8" w:rsidRDefault="00250AE5" w:rsidP="008B5BA8">
      <w:pPr>
        <w:pStyle w:val="ListParagraph"/>
        <w:numPr>
          <w:ilvl w:val="0"/>
          <w:numId w:val="11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“Company”</w:t>
      </w:r>
      <w:r w:rsidRPr="008B5BA8">
        <w:rPr>
          <w:rFonts w:ascii="Arial Narrow" w:hAnsi="Arial Narrow"/>
          <w:sz w:val="23"/>
          <w:szCs w:val="23"/>
        </w:rPr>
        <w:t xml:space="preserve"> means DIL Limited (CIN: </w:t>
      </w:r>
      <w:r w:rsidR="00345674" w:rsidRPr="008B5BA8">
        <w:rPr>
          <w:rFonts w:ascii="Arial Narrow" w:hAnsi="Arial Narrow"/>
          <w:sz w:val="23"/>
          <w:szCs w:val="23"/>
        </w:rPr>
        <w:t>L99999MH1951PLC008485</w:t>
      </w:r>
      <w:r w:rsidRPr="008B5BA8">
        <w:rPr>
          <w:rFonts w:ascii="Arial Narrow" w:hAnsi="Arial Narrow"/>
          <w:sz w:val="23"/>
          <w:szCs w:val="23"/>
        </w:rPr>
        <w:t>).</w:t>
      </w:r>
    </w:p>
    <w:p w:rsidR="00250AE5" w:rsidRPr="008B5BA8" w:rsidRDefault="00250AE5" w:rsidP="008B5BA8">
      <w:pPr>
        <w:pStyle w:val="ListParagraph"/>
        <w:ind w:left="1440" w:hanging="720"/>
        <w:rPr>
          <w:rFonts w:ascii="Arial Narrow" w:hAnsi="Arial Narrow"/>
          <w:sz w:val="23"/>
          <w:szCs w:val="23"/>
        </w:rPr>
      </w:pPr>
    </w:p>
    <w:p w:rsidR="00250AE5" w:rsidRPr="008B5BA8" w:rsidRDefault="00250AE5" w:rsidP="008B5BA8">
      <w:pPr>
        <w:pStyle w:val="ListParagraph"/>
        <w:numPr>
          <w:ilvl w:val="0"/>
          <w:numId w:val="11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“Holding Company”</w:t>
      </w:r>
      <w:r w:rsidRPr="008B5BA8">
        <w:rPr>
          <w:rFonts w:ascii="Arial Narrow" w:hAnsi="Arial Narrow"/>
          <w:sz w:val="23"/>
          <w:szCs w:val="23"/>
        </w:rPr>
        <w:t> is as defined under </w:t>
      </w:r>
      <w:r w:rsidR="00752182">
        <w:rPr>
          <w:rFonts w:ascii="Arial Narrow" w:hAnsi="Arial Narrow"/>
          <w:sz w:val="23"/>
          <w:szCs w:val="23"/>
        </w:rPr>
        <w:t>Section</w:t>
      </w:r>
      <w:r w:rsidRPr="008B5BA8">
        <w:rPr>
          <w:rFonts w:ascii="Arial Narrow" w:hAnsi="Arial Narrow"/>
          <w:sz w:val="23"/>
          <w:szCs w:val="23"/>
        </w:rPr>
        <w:t> 2(46) of the Act.</w:t>
      </w:r>
    </w:p>
    <w:p w:rsidR="000B1542" w:rsidRPr="008B5BA8" w:rsidRDefault="000B1542" w:rsidP="008B5BA8">
      <w:p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</w:p>
    <w:p w:rsidR="00B71409" w:rsidRPr="00B71409" w:rsidRDefault="00B71409" w:rsidP="006623ED">
      <w:pPr>
        <w:pStyle w:val="ListParagraph"/>
        <w:numPr>
          <w:ilvl w:val="0"/>
          <w:numId w:val="11"/>
        </w:numPr>
        <w:spacing w:line="360" w:lineRule="auto"/>
        <w:ind w:left="1418" w:hanging="709"/>
        <w:jc w:val="both"/>
        <w:rPr>
          <w:rFonts w:ascii="Arial Narrow" w:hAnsi="Arial Narrow"/>
          <w:sz w:val="23"/>
          <w:szCs w:val="23"/>
        </w:rPr>
      </w:pPr>
      <w:r w:rsidRPr="00B71409">
        <w:rPr>
          <w:rFonts w:ascii="Arial Narrow" w:hAnsi="Arial Narrow"/>
          <w:b/>
          <w:sz w:val="23"/>
          <w:szCs w:val="23"/>
        </w:rPr>
        <w:t xml:space="preserve">“Listing </w:t>
      </w:r>
      <w:bookmarkStart w:id="0" w:name="_GoBack"/>
      <w:bookmarkEnd w:id="0"/>
      <w:r w:rsidRPr="00B71409">
        <w:rPr>
          <w:rFonts w:ascii="Arial Narrow" w:hAnsi="Arial Narrow"/>
          <w:b/>
          <w:sz w:val="23"/>
          <w:szCs w:val="23"/>
        </w:rPr>
        <w:t>Regulations”</w:t>
      </w:r>
      <w:r w:rsidRPr="00B71409">
        <w:rPr>
          <w:rFonts w:ascii="Arial Narrow" w:hAnsi="Arial Narrow"/>
          <w:sz w:val="23"/>
          <w:szCs w:val="23"/>
        </w:rPr>
        <w:t xml:space="preserve"> means Securities and Exchange Board of India (Listing Obligations and Disclosure Requirements) Regulations, 2015.</w:t>
      </w:r>
    </w:p>
    <w:p w:rsidR="00B71409" w:rsidRPr="00B71409" w:rsidRDefault="00B71409" w:rsidP="00B71409">
      <w:pPr>
        <w:pStyle w:val="ListParagraph"/>
        <w:rPr>
          <w:rFonts w:ascii="Arial Narrow" w:hAnsi="Arial Narrow"/>
          <w:b/>
          <w:sz w:val="23"/>
          <w:szCs w:val="23"/>
        </w:rPr>
      </w:pPr>
    </w:p>
    <w:p w:rsidR="00E53F83" w:rsidRPr="008B5BA8" w:rsidRDefault="00E53F83" w:rsidP="008B5BA8">
      <w:pPr>
        <w:pStyle w:val="ListParagraph"/>
        <w:numPr>
          <w:ilvl w:val="0"/>
          <w:numId w:val="11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“Subsidiary Company”</w:t>
      </w:r>
      <w:r w:rsidRPr="008B5BA8">
        <w:rPr>
          <w:rFonts w:ascii="Arial Narrow" w:hAnsi="Arial Narrow"/>
          <w:sz w:val="23"/>
          <w:szCs w:val="23"/>
        </w:rPr>
        <w:t> is as define</w:t>
      </w:r>
      <w:r w:rsidR="000B1542" w:rsidRPr="008B5BA8">
        <w:rPr>
          <w:rFonts w:ascii="Arial Narrow" w:hAnsi="Arial Narrow"/>
          <w:sz w:val="23"/>
          <w:szCs w:val="23"/>
        </w:rPr>
        <w:t>d under </w:t>
      </w:r>
      <w:r w:rsidR="00752182">
        <w:rPr>
          <w:rFonts w:ascii="Arial Narrow" w:hAnsi="Arial Narrow"/>
          <w:sz w:val="23"/>
          <w:szCs w:val="23"/>
        </w:rPr>
        <w:t>Section</w:t>
      </w:r>
      <w:r w:rsidR="000B1542" w:rsidRPr="008B5BA8">
        <w:rPr>
          <w:rFonts w:ascii="Arial Narrow" w:hAnsi="Arial Narrow"/>
          <w:sz w:val="23"/>
          <w:szCs w:val="23"/>
        </w:rPr>
        <w:t> 2(87) of the Act.</w:t>
      </w:r>
    </w:p>
    <w:p w:rsidR="000B1542" w:rsidRPr="008B5BA8" w:rsidRDefault="000B1542" w:rsidP="008B5BA8">
      <w:p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</w:p>
    <w:p w:rsidR="00C00CE0" w:rsidRDefault="000B1542" w:rsidP="00F10C5D">
      <w:pPr>
        <w:pStyle w:val="ListParagraph"/>
        <w:numPr>
          <w:ilvl w:val="0"/>
          <w:numId w:val="11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“Significant Transaction or Arrangement</w:t>
      </w:r>
      <w:r w:rsidRPr="008B5BA8">
        <w:rPr>
          <w:rFonts w:ascii="Arial Narrow" w:hAnsi="Arial Narrow"/>
          <w:sz w:val="23"/>
          <w:szCs w:val="23"/>
        </w:rPr>
        <w:t>”</w:t>
      </w:r>
      <w:r w:rsidR="00486AE5" w:rsidRPr="008B5BA8">
        <w:rPr>
          <w:rFonts w:ascii="Arial Narrow" w:hAnsi="Arial Narrow"/>
          <w:sz w:val="23"/>
          <w:szCs w:val="23"/>
        </w:rPr>
        <w:t xml:space="preserve"> </w:t>
      </w:r>
      <w:r w:rsidR="00EF6E8B" w:rsidRPr="008B5BA8">
        <w:rPr>
          <w:rFonts w:ascii="Arial Narrow" w:hAnsi="Arial Narrow"/>
          <w:sz w:val="23"/>
          <w:szCs w:val="23"/>
        </w:rPr>
        <w:t xml:space="preserve">means the significant transaction or arrangement </w:t>
      </w:r>
      <w:r w:rsidR="00486AE5" w:rsidRPr="008B5BA8">
        <w:rPr>
          <w:rFonts w:ascii="Arial Narrow" w:hAnsi="Arial Narrow"/>
          <w:sz w:val="23"/>
          <w:szCs w:val="23"/>
        </w:rPr>
        <w:t xml:space="preserve">as </w:t>
      </w:r>
      <w:r w:rsidR="00EF6E8B" w:rsidRPr="008B5BA8">
        <w:rPr>
          <w:rFonts w:ascii="Arial Narrow" w:hAnsi="Arial Narrow"/>
          <w:sz w:val="23"/>
          <w:szCs w:val="23"/>
        </w:rPr>
        <w:t xml:space="preserve">defined in </w:t>
      </w:r>
      <w:r w:rsidR="00F10C5D">
        <w:rPr>
          <w:rFonts w:ascii="Arial Narrow" w:hAnsi="Arial Narrow"/>
          <w:sz w:val="23"/>
          <w:szCs w:val="23"/>
        </w:rPr>
        <w:t>Regulation 24 (4</w:t>
      </w:r>
      <w:r w:rsidR="00EF6E8B" w:rsidRPr="008B5BA8">
        <w:rPr>
          <w:rFonts w:ascii="Arial Narrow" w:hAnsi="Arial Narrow"/>
          <w:sz w:val="23"/>
          <w:szCs w:val="23"/>
        </w:rPr>
        <w:t>)</w:t>
      </w:r>
      <w:r w:rsidR="00486AE5" w:rsidRPr="008B5BA8">
        <w:rPr>
          <w:rFonts w:ascii="Arial Narrow" w:hAnsi="Arial Narrow"/>
          <w:sz w:val="23"/>
          <w:szCs w:val="23"/>
        </w:rPr>
        <w:t xml:space="preserve"> of the </w:t>
      </w:r>
      <w:r w:rsidR="00EF6E8B" w:rsidRPr="008B5BA8">
        <w:rPr>
          <w:rFonts w:ascii="Arial Narrow" w:hAnsi="Arial Narrow"/>
          <w:sz w:val="23"/>
          <w:szCs w:val="23"/>
        </w:rPr>
        <w:t>L</w:t>
      </w:r>
      <w:r w:rsidR="00486AE5" w:rsidRPr="008B5BA8">
        <w:rPr>
          <w:rFonts w:ascii="Arial Narrow" w:hAnsi="Arial Narrow"/>
          <w:sz w:val="23"/>
          <w:szCs w:val="23"/>
        </w:rPr>
        <w:t xml:space="preserve">isting </w:t>
      </w:r>
      <w:r w:rsidR="00F10C5D">
        <w:rPr>
          <w:rFonts w:ascii="Arial Narrow" w:hAnsi="Arial Narrow"/>
          <w:sz w:val="23"/>
          <w:szCs w:val="23"/>
        </w:rPr>
        <w:t>Regulations</w:t>
      </w:r>
      <w:r w:rsidRPr="008B5BA8">
        <w:rPr>
          <w:rFonts w:ascii="Arial Narrow" w:hAnsi="Arial Narrow"/>
          <w:sz w:val="23"/>
          <w:szCs w:val="23"/>
        </w:rPr>
        <w:t>.</w:t>
      </w:r>
    </w:p>
    <w:p w:rsidR="00F10C5D" w:rsidRPr="00F10C5D" w:rsidRDefault="00F10C5D" w:rsidP="00F10C5D">
      <w:pPr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8B5BA8" w:rsidRDefault="009524C2" w:rsidP="00B128A7">
      <w:pPr>
        <w:pStyle w:val="ListParagraph"/>
        <w:numPr>
          <w:ilvl w:val="0"/>
          <w:numId w:val="11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Any other term not defined herein, shall have the same meaning ascribed to it, as defined under the Companies Act, 2013 or the Rules </w:t>
      </w:r>
      <w:r w:rsidR="00F10C5D">
        <w:rPr>
          <w:rFonts w:ascii="Arial Narrow" w:hAnsi="Arial Narrow"/>
          <w:sz w:val="23"/>
          <w:szCs w:val="23"/>
        </w:rPr>
        <w:t xml:space="preserve">made thereunder, </w:t>
      </w:r>
      <w:r w:rsidRPr="008B5BA8">
        <w:rPr>
          <w:rFonts w:ascii="Arial Narrow" w:hAnsi="Arial Narrow"/>
          <w:sz w:val="23"/>
          <w:szCs w:val="23"/>
        </w:rPr>
        <w:t>Act, Rules and Regulations framed by the SEBI or any other relevant legislation</w:t>
      </w:r>
      <w:r w:rsidR="0037337C">
        <w:rPr>
          <w:rFonts w:ascii="Arial Narrow" w:hAnsi="Arial Narrow"/>
          <w:sz w:val="23"/>
          <w:szCs w:val="23"/>
        </w:rPr>
        <w:t xml:space="preserve">/regulation </w:t>
      </w:r>
      <w:r w:rsidR="00553D92" w:rsidRPr="008B5BA8">
        <w:rPr>
          <w:rFonts w:ascii="Arial Narrow" w:hAnsi="Arial Narrow"/>
          <w:sz w:val="23"/>
          <w:szCs w:val="23"/>
        </w:rPr>
        <w:t>applicable to the Company.</w:t>
      </w:r>
      <w:r w:rsidR="00F10C5D">
        <w:rPr>
          <w:rFonts w:ascii="Arial Narrow" w:hAnsi="Arial Narrow"/>
          <w:sz w:val="23"/>
          <w:szCs w:val="23"/>
        </w:rPr>
        <w:t xml:space="preserve">  </w:t>
      </w:r>
    </w:p>
    <w:p w:rsidR="00F10C5D" w:rsidRPr="00F10C5D" w:rsidRDefault="00F10C5D" w:rsidP="00F10C5D">
      <w:pPr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214D24" w:rsidRPr="008B5BA8" w:rsidRDefault="001447CB" w:rsidP="00264DD9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Identification of</w:t>
      </w:r>
      <w:r w:rsidR="00214D24" w:rsidRPr="008B5BA8">
        <w:rPr>
          <w:rFonts w:ascii="Arial Narrow" w:hAnsi="Arial Narrow"/>
          <w:b/>
          <w:sz w:val="23"/>
          <w:szCs w:val="23"/>
        </w:rPr>
        <w:t xml:space="preserve"> Material Subsidiary:</w:t>
      </w:r>
      <w:r w:rsidR="0037337C">
        <w:rPr>
          <w:rFonts w:ascii="Arial Narrow" w:hAnsi="Arial Narrow"/>
          <w:b/>
          <w:sz w:val="23"/>
          <w:szCs w:val="23"/>
        </w:rPr>
        <w:t xml:space="preserve"> </w:t>
      </w:r>
    </w:p>
    <w:p w:rsidR="001447CB" w:rsidRPr="008B5BA8" w:rsidRDefault="001447CB" w:rsidP="001447CB">
      <w:pPr>
        <w:spacing w:after="0" w:line="360" w:lineRule="auto"/>
        <w:ind w:left="720" w:hanging="709"/>
        <w:jc w:val="both"/>
        <w:rPr>
          <w:rFonts w:ascii="Arial Narrow" w:hAnsi="Arial Narrow"/>
          <w:sz w:val="23"/>
          <w:szCs w:val="23"/>
        </w:rPr>
      </w:pPr>
    </w:p>
    <w:p w:rsidR="00BF4039" w:rsidRPr="008B5BA8" w:rsidRDefault="00264DD9" w:rsidP="008B5BA8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Arial Narrow" w:hAnsi="Arial Narrow" w:cs="Calibri"/>
          <w:sz w:val="23"/>
          <w:szCs w:val="23"/>
          <w:lang w:val="en-US"/>
        </w:rPr>
      </w:pPr>
      <w:r w:rsidRPr="008B5BA8">
        <w:rPr>
          <w:rFonts w:ascii="Arial Narrow" w:hAnsi="Arial Narrow" w:cs="Calibri"/>
          <w:b/>
          <w:sz w:val="23"/>
          <w:szCs w:val="23"/>
          <w:lang w:val="en-US"/>
        </w:rPr>
        <w:t>“Material Subsidiary”</w:t>
      </w:r>
      <w:r w:rsidRPr="008B5BA8">
        <w:rPr>
          <w:rFonts w:ascii="Arial Narrow" w:hAnsi="Arial Narrow" w:cs="Calibri"/>
          <w:sz w:val="23"/>
          <w:szCs w:val="23"/>
          <w:lang w:val="en-US"/>
        </w:rPr>
        <w:t xml:space="preserve"> - </w:t>
      </w:r>
      <w:r w:rsidR="00BF4039" w:rsidRPr="008B5BA8">
        <w:rPr>
          <w:rFonts w:ascii="Arial Narrow" w:hAnsi="Arial Narrow" w:cs="Calibri"/>
          <w:sz w:val="23"/>
          <w:szCs w:val="23"/>
          <w:lang w:val="en-US"/>
        </w:rPr>
        <w:t>A Subsidiary shall be considered as material if:</w:t>
      </w:r>
    </w:p>
    <w:p w:rsidR="001447CB" w:rsidRPr="008B5BA8" w:rsidRDefault="001447CB" w:rsidP="001447CB">
      <w:pPr>
        <w:pStyle w:val="ListParagraph"/>
        <w:spacing w:after="0" w:line="360" w:lineRule="auto"/>
        <w:ind w:left="709"/>
        <w:jc w:val="both"/>
        <w:rPr>
          <w:rFonts w:ascii="Arial Narrow" w:hAnsi="Arial Narrow"/>
          <w:sz w:val="23"/>
          <w:szCs w:val="23"/>
        </w:rPr>
      </w:pPr>
    </w:p>
    <w:p w:rsidR="001447CB" w:rsidRPr="008B5BA8" w:rsidRDefault="001447CB" w:rsidP="008B5BA8">
      <w:pPr>
        <w:pStyle w:val="ListParagraph"/>
        <w:numPr>
          <w:ilvl w:val="0"/>
          <w:numId w:val="2"/>
        </w:numPr>
        <w:spacing w:after="0" w:line="360" w:lineRule="auto"/>
        <w:ind w:left="216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lastRenderedPageBreak/>
        <w:t xml:space="preserve">the Investment by the </w:t>
      </w:r>
      <w:r w:rsidR="00BF4039" w:rsidRPr="008B5BA8">
        <w:rPr>
          <w:rFonts w:ascii="Arial Narrow" w:hAnsi="Arial Narrow"/>
          <w:sz w:val="23"/>
          <w:szCs w:val="23"/>
        </w:rPr>
        <w:t>C</w:t>
      </w:r>
      <w:r w:rsidRPr="008B5BA8">
        <w:rPr>
          <w:rFonts w:ascii="Arial Narrow" w:hAnsi="Arial Narrow"/>
          <w:sz w:val="23"/>
          <w:szCs w:val="23"/>
        </w:rPr>
        <w:t xml:space="preserve">ompany in the </w:t>
      </w:r>
      <w:r w:rsidR="00BF4039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 xml:space="preserve">ubsidiary, exceeds 20% </w:t>
      </w:r>
      <w:r w:rsidR="00BF4039" w:rsidRPr="008B5BA8">
        <w:rPr>
          <w:rFonts w:ascii="Arial Narrow" w:hAnsi="Arial Narrow"/>
          <w:sz w:val="23"/>
          <w:szCs w:val="23"/>
        </w:rPr>
        <w:t xml:space="preserve">(twenty per cent) </w:t>
      </w:r>
      <w:r w:rsidRPr="008B5BA8">
        <w:rPr>
          <w:rFonts w:ascii="Arial Narrow" w:hAnsi="Arial Narrow"/>
          <w:sz w:val="23"/>
          <w:szCs w:val="23"/>
        </w:rPr>
        <w:t xml:space="preserve">of consolidated net worth </w:t>
      </w:r>
      <w:r w:rsidR="00BF4039" w:rsidRPr="008B5BA8">
        <w:rPr>
          <w:rFonts w:ascii="Arial Narrow" w:hAnsi="Arial Narrow"/>
          <w:sz w:val="23"/>
          <w:szCs w:val="23"/>
        </w:rPr>
        <w:t xml:space="preserve">of the Company, </w:t>
      </w:r>
      <w:r w:rsidRPr="008B5BA8">
        <w:rPr>
          <w:rFonts w:ascii="Arial Narrow" w:hAnsi="Arial Narrow"/>
          <w:sz w:val="23"/>
          <w:szCs w:val="23"/>
        </w:rPr>
        <w:t>as per the audited balance sheet of the previous financial year; or</w:t>
      </w:r>
    </w:p>
    <w:p w:rsidR="001447CB" w:rsidRPr="008B5BA8" w:rsidRDefault="001447CB" w:rsidP="00BF13C8">
      <w:pPr>
        <w:pStyle w:val="ListParagraph"/>
        <w:spacing w:after="0" w:line="360" w:lineRule="auto"/>
        <w:ind w:hanging="180"/>
        <w:jc w:val="both"/>
        <w:rPr>
          <w:rFonts w:ascii="Arial Narrow" w:hAnsi="Arial Narrow"/>
          <w:sz w:val="23"/>
          <w:szCs w:val="23"/>
        </w:rPr>
      </w:pPr>
    </w:p>
    <w:p w:rsidR="001447CB" w:rsidRPr="008B5BA8" w:rsidRDefault="001447CB" w:rsidP="008B5BA8">
      <w:pPr>
        <w:pStyle w:val="ListParagraph"/>
        <w:numPr>
          <w:ilvl w:val="0"/>
          <w:numId w:val="2"/>
        </w:numPr>
        <w:spacing w:after="0" w:line="360" w:lineRule="auto"/>
        <w:ind w:left="2160" w:hanging="720"/>
        <w:jc w:val="both"/>
        <w:rPr>
          <w:rFonts w:ascii="Arial Narrow" w:hAnsi="Arial Narrow"/>
          <w:sz w:val="23"/>
          <w:szCs w:val="23"/>
        </w:rPr>
      </w:pPr>
      <w:proofErr w:type="gramStart"/>
      <w:r w:rsidRPr="008B5BA8">
        <w:rPr>
          <w:rFonts w:ascii="Arial Narrow" w:hAnsi="Arial Narrow"/>
          <w:sz w:val="23"/>
          <w:szCs w:val="23"/>
        </w:rPr>
        <w:t>the</w:t>
      </w:r>
      <w:proofErr w:type="gramEnd"/>
      <w:r w:rsidRPr="008B5BA8">
        <w:rPr>
          <w:rFonts w:ascii="Arial Narrow" w:hAnsi="Arial Narrow"/>
          <w:sz w:val="23"/>
          <w:szCs w:val="23"/>
        </w:rPr>
        <w:t xml:space="preserve"> </w:t>
      </w:r>
      <w:r w:rsidR="00BF4039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 xml:space="preserve">ubsidiary has generated </w:t>
      </w:r>
      <w:r w:rsidR="00BF4039" w:rsidRPr="008B5BA8">
        <w:rPr>
          <w:rFonts w:ascii="Arial Narrow" w:hAnsi="Arial Narrow"/>
          <w:sz w:val="23"/>
          <w:szCs w:val="23"/>
        </w:rPr>
        <w:t>20 % (</w:t>
      </w:r>
      <w:r w:rsidRPr="008B5BA8">
        <w:rPr>
          <w:rFonts w:ascii="Arial Narrow" w:hAnsi="Arial Narrow"/>
          <w:sz w:val="23"/>
          <w:szCs w:val="23"/>
        </w:rPr>
        <w:t>twenty per cent</w:t>
      </w:r>
      <w:r w:rsidR="00BF4039" w:rsidRPr="008B5BA8">
        <w:rPr>
          <w:rFonts w:ascii="Arial Narrow" w:hAnsi="Arial Narrow"/>
          <w:sz w:val="23"/>
          <w:szCs w:val="23"/>
        </w:rPr>
        <w:t>)</w:t>
      </w:r>
      <w:r w:rsidRPr="008B5BA8">
        <w:rPr>
          <w:rFonts w:ascii="Arial Narrow" w:hAnsi="Arial Narrow"/>
          <w:sz w:val="23"/>
          <w:szCs w:val="23"/>
        </w:rPr>
        <w:t xml:space="preserve"> of the consolidated income of the Company during the previous financial year.</w:t>
      </w:r>
    </w:p>
    <w:p w:rsidR="00BF4039" w:rsidRPr="008B5BA8" w:rsidRDefault="00BF4039" w:rsidP="00BF4039">
      <w:pPr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</w:p>
    <w:p w:rsidR="00BF4039" w:rsidRPr="008B5BA8" w:rsidRDefault="00BF4039" w:rsidP="008B5BA8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“Material non-listed Indian Subsidiary”</w:t>
      </w:r>
      <w:r w:rsidRPr="008B5BA8">
        <w:rPr>
          <w:rFonts w:ascii="Arial Narrow" w:hAnsi="Arial Narrow"/>
          <w:sz w:val="23"/>
          <w:szCs w:val="23"/>
        </w:rPr>
        <w:t xml:space="preserve"> shall mean an unlisted subsidiary, incorporated in India, whose income or net worth (paid up capital and free reserves) exceeds 20% of the consolidated income or net worth respectively, of the company and its subsidiaries in the immediately preceding accounting year.</w:t>
      </w:r>
    </w:p>
    <w:p w:rsidR="00214D24" w:rsidRPr="008B5BA8" w:rsidRDefault="00214D24" w:rsidP="00342C1C">
      <w:pPr>
        <w:spacing w:after="0" w:line="360" w:lineRule="auto"/>
        <w:ind w:left="720" w:hanging="439"/>
        <w:jc w:val="both"/>
        <w:rPr>
          <w:rFonts w:ascii="Arial Narrow" w:hAnsi="Arial Narrow"/>
          <w:sz w:val="23"/>
          <w:szCs w:val="23"/>
        </w:rPr>
      </w:pPr>
    </w:p>
    <w:p w:rsidR="00BF4039" w:rsidRPr="008B5BA8" w:rsidRDefault="00BF4039" w:rsidP="008B5BA8">
      <w:pPr>
        <w:pStyle w:val="ListParagraph"/>
        <w:numPr>
          <w:ilvl w:val="0"/>
          <w:numId w:val="12"/>
        </w:numPr>
        <w:spacing w:after="0" w:line="360" w:lineRule="auto"/>
        <w:ind w:left="144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The management of the Company shall place before the Board, the list of such </w:t>
      </w:r>
      <w:proofErr w:type="gramStart"/>
      <w:r w:rsidRPr="008B5BA8">
        <w:rPr>
          <w:rFonts w:ascii="Arial Narrow" w:hAnsi="Arial Narrow"/>
          <w:sz w:val="23"/>
          <w:szCs w:val="23"/>
        </w:rPr>
        <w:t>Subsidiary(</w:t>
      </w:r>
      <w:proofErr w:type="gramEnd"/>
      <w:r w:rsidRPr="008B5BA8">
        <w:rPr>
          <w:rFonts w:ascii="Arial Narrow" w:hAnsi="Arial Narrow"/>
          <w:sz w:val="23"/>
          <w:szCs w:val="23"/>
        </w:rPr>
        <w:t>ies) together with the details of materiality defined herein, on an annual basis.</w:t>
      </w:r>
    </w:p>
    <w:p w:rsidR="00BF4039" w:rsidRPr="008B5BA8" w:rsidRDefault="00BF4039" w:rsidP="00C27FCF">
      <w:pPr>
        <w:spacing w:after="0" w:line="360" w:lineRule="auto"/>
        <w:ind w:left="709" w:hanging="108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 xml:space="preserve">  </w:t>
      </w:r>
    </w:p>
    <w:p w:rsidR="002F45E9" w:rsidRPr="008B5BA8" w:rsidRDefault="002F45E9" w:rsidP="00B7083D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Governance framework:</w:t>
      </w:r>
    </w:p>
    <w:p w:rsidR="00B128A7" w:rsidRPr="008B5BA8" w:rsidRDefault="00B128A7" w:rsidP="00B128A7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214D24" w:rsidRPr="008B5BA8" w:rsidRDefault="00F65505" w:rsidP="008B5BA8">
      <w:pPr>
        <w:pStyle w:val="ListParagraph"/>
        <w:numPr>
          <w:ilvl w:val="0"/>
          <w:numId w:val="13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>One</w:t>
      </w:r>
      <w:r w:rsidR="00214D24" w:rsidRPr="008B5BA8">
        <w:rPr>
          <w:rFonts w:ascii="Arial Narrow" w:hAnsi="Arial Narrow"/>
          <w:sz w:val="23"/>
          <w:szCs w:val="23"/>
        </w:rPr>
        <w:t xml:space="preserve"> independent director on the Board of Directors of the </w:t>
      </w:r>
      <w:r w:rsidR="002F45E9" w:rsidRPr="008B5BA8">
        <w:rPr>
          <w:rFonts w:ascii="Arial Narrow" w:hAnsi="Arial Narrow"/>
          <w:sz w:val="23"/>
          <w:szCs w:val="23"/>
        </w:rPr>
        <w:t>C</w:t>
      </w:r>
      <w:r w:rsidR="00214D24" w:rsidRPr="008B5BA8">
        <w:rPr>
          <w:rFonts w:ascii="Arial Narrow" w:hAnsi="Arial Narrow"/>
          <w:sz w:val="23"/>
          <w:szCs w:val="23"/>
        </w:rPr>
        <w:t xml:space="preserve">ompany shall be a director on the Board of Directors of a </w:t>
      </w:r>
      <w:r w:rsidR="002F45E9" w:rsidRPr="008B5BA8">
        <w:rPr>
          <w:rFonts w:ascii="Arial Narrow" w:hAnsi="Arial Narrow"/>
          <w:sz w:val="23"/>
          <w:szCs w:val="23"/>
        </w:rPr>
        <w:t>M</w:t>
      </w:r>
      <w:r w:rsidR="00214D24" w:rsidRPr="008B5BA8">
        <w:rPr>
          <w:rFonts w:ascii="Arial Narrow" w:hAnsi="Arial Narrow"/>
          <w:sz w:val="23"/>
          <w:szCs w:val="23"/>
        </w:rPr>
        <w:t xml:space="preserve">aterial non-listed Indian </w:t>
      </w:r>
      <w:r w:rsidR="002F45E9" w:rsidRPr="008B5BA8">
        <w:rPr>
          <w:rFonts w:ascii="Arial Narrow" w:hAnsi="Arial Narrow"/>
          <w:sz w:val="23"/>
          <w:szCs w:val="23"/>
        </w:rPr>
        <w:t>S</w:t>
      </w:r>
      <w:r w:rsidR="00214D24" w:rsidRPr="008B5BA8">
        <w:rPr>
          <w:rFonts w:ascii="Arial Narrow" w:hAnsi="Arial Narrow"/>
          <w:sz w:val="23"/>
          <w:szCs w:val="23"/>
        </w:rPr>
        <w:t>ubsidiary.</w:t>
      </w:r>
    </w:p>
    <w:p w:rsidR="00F65505" w:rsidRPr="008B5BA8" w:rsidRDefault="00F65505" w:rsidP="008B5BA8">
      <w:pPr>
        <w:pStyle w:val="ListParagraph"/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</w:p>
    <w:p w:rsidR="00214D24" w:rsidRPr="008B5BA8" w:rsidRDefault="00F65505" w:rsidP="008B5BA8">
      <w:pPr>
        <w:pStyle w:val="ListParagraph"/>
        <w:numPr>
          <w:ilvl w:val="0"/>
          <w:numId w:val="13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The Audit Committee of the </w:t>
      </w:r>
      <w:r w:rsidR="00372EC4" w:rsidRPr="008B5BA8">
        <w:rPr>
          <w:rFonts w:ascii="Arial Narrow" w:hAnsi="Arial Narrow"/>
          <w:sz w:val="23"/>
          <w:szCs w:val="23"/>
        </w:rPr>
        <w:t>C</w:t>
      </w:r>
      <w:r w:rsidRPr="008B5BA8">
        <w:rPr>
          <w:rFonts w:ascii="Arial Narrow" w:hAnsi="Arial Narrow"/>
          <w:sz w:val="23"/>
          <w:szCs w:val="23"/>
        </w:rPr>
        <w:t xml:space="preserve">ompany shall also review the financial statements, in particular, the investments made by the unlisted </w:t>
      </w:r>
      <w:r w:rsidR="00372EC4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 xml:space="preserve">ubsidiary </w:t>
      </w:r>
      <w:r w:rsidR="00372EC4" w:rsidRPr="008B5BA8">
        <w:rPr>
          <w:rFonts w:ascii="Arial Narrow" w:hAnsi="Arial Narrow"/>
          <w:sz w:val="23"/>
          <w:szCs w:val="23"/>
        </w:rPr>
        <w:t>C</w:t>
      </w:r>
      <w:r w:rsidRPr="008B5BA8">
        <w:rPr>
          <w:rFonts w:ascii="Arial Narrow" w:hAnsi="Arial Narrow"/>
          <w:sz w:val="23"/>
          <w:szCs w:val="23"/>
        </w:rPr>
        <w:t>ompany.</w:t>
      </w:r>
    </w:p>
    <w:p w:rsidR="00F65505" w:rsidRPr="008B5BA8" w:rsidRDefault="00F65505" w:rsidP="008B5BA8">
      <w:pPr>
        <w:pStyle w:val="ListParagraph"/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</w:p>
    <w:p w:rsidR="00F65505" w:rsidRPr="008B5BA8" w:rsidRDefault="00F65505" w:rsidP="008B5BA8">
      <w:pPr>
        <w:pStyle w:val="ListParagraph"/>
        <w:numPr>
          <w:ilvl w:val="0"/>
          <w:numId w:val="13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The minutes of the Board meetings of the unlisted </w:t>
      </w:r>
      <w:r w:rsidR="00372EC4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 xml:space="preserve">ubsidiary </w:t>
      </w:r>
      <w:r w:rsidR="00372EC4" w:rsidRPr="008B5BA8">
        <w:rPr>
          <w:rFonts w:ascii="Arial Narrow" w:hAnsi="Arial Narrow"/>
          <w:sz w:val="23"/>
          <w:szCs w:val="23"/>
        </w:rPr>
        <w:t>C</w:t>
      </w:r>
      <w:r w:rsidRPr="008B5BA8">
        <w:rPr>
          <w:rFonts w:ascii="Arial Narrow" w:hAnsi="Arial Narrow"/>
          <w:sz w:val="23"/>
          <w:szCs w:val="23"/>
        </w:rPr>
        <w:t xml:space="preserve">ompany shall be placed at the Board meeting of the </w:t>
      </w:r>
      <w:r w:rsidR="00372EC4" w:rsidRPr="008B5BA8">
        <w:rPr>
          <w:rFonts w:ascii="Arial Narrow" w:hAnsi="Arial Narrow"/>
          <w:sz w:val="23"/>
          <w:szCs w:val="23"/>
        </w:rPr>
        <w:t>C</w:t>
      </w:r>
      <w:r w:rsidRPr="008B5BA8">
        <w:rPr>
          <w:rFonts w:ascii="Arial Narrow" w:hAnsi="Arial Narrow"/>
          <w:sz w:val="23"/>
          <w:szCs w:val="23"/>
        </w:rPr>
        <w:t>ompany.</w:t>
      </w:r>
    </w:p>
    <w:p w:rsidR="00F65505" w:rsidRPr="008B5BA8" w:rsidRDefault="00F65505" w:rsidP="008B5BA8">
      <w:pPr>
        <w:pStyle w:val="ListParagraph"/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</w:p>
    <w:p w:rsidR="00F65505" w:rsidRPr="008B5BA8" w:rsidRDefault="00F65505" w:rsidP="008B5BA8">
      <w:pPr>
        <w:pStyle w:val="ListParagraph"/>
        <w:numPr>
          <w:ilvl w:val="0"/>
          <w:numId w:val="13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The management should </w:t>
      </w:r>
      <w:r w:rsidR="00C27FCF" w:rsidRPr="008B5BA8">
        <w:rPr>
          <w:rFonts w:ascii="Arial Narrow" w:hAnsi="Arial Narrow"/>
          <w:sz w:val="23"/>
          <w:szCs w:val="23"/>
        </w:rPr>
        <w:t>periodically</w:t>
      </w:r>
      <w:r w:rsidRPr="008B5BA8">
        <w:rPr>
          <w:rFonts w:ascii="Arial Narrow" w:hAnsi="Arial Narrow"/>
          <w:sz w:val="23"/>
          <w:szCs w:val="23"/>
        </w:rPr>
        <w:t xml:space="preserve"> bring to the attention of the Board, a statement of </w:t>
      </w:r>
      <w:proofErr w:type="gramStart"/>
      <w:r w:rsidR="008570FD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>ignificant</w:t>
      </w:r>
      <w:proofErr w:type="gramEnd"/>
      <w:r w:rsidRPr="008B5BA8">
        <w:rPr>
          <w:rFonts w:ascii="Arial Narrow" w:hAnsi="Arial Narrow"/>
          <w:sz w:val="23"/>
          <w:szCs w:val="23"/>
        </w:rPr>
        <w:t xml:space="preserve"> transaction </w:t>
      </w:r>
      <w:r w:rsidR="008570FD" w:rsidRPr="008B5BA8">
        <w:rPr>
          <w:rFonts w:ascii="Arial Narrow" w:hAnsi="Arial Narrow"/>
          <w:sz w:val="23"/>
          <w:szCs w:val="23"/>
        </w:rPr>
        <w:t>or</w:t>
      </w:r>
      <w:r w:rsidRPr="008B5BA8">
        <w:rPr>
          <w:rFonts w:ascii="Arial Narrow" w:hAnsi="Arial Narrow"/>
          <w:sz w:val="23"/>
          <w:szCs w:val="23"/>
        </w:rPr>
        <w:t xml:space="preserve"> </w:t>
      </w:r>
      <w:r w:rsidR="008570FD" w:rsidRPr="008B5BA8">
        <w:rPr>
          <w:rFonts w:ascii="Arial Narrow" w:hAnsi="Arial Narrow"/>
          <w:sz w:val="23"/>
          <w:szCs w:val="23"/>
        </w:rPr>
        <w:t>A</w:t>
      </w:r>
      <w:r w:rsidRPr="008B5BA8">
        <w:rPr>
          <w:rFonts w:ascii="Arial Narrow" w:hAnsi="Arial Narrow"/>
          <w:sz w:val="23"/>
          <w:szCs w:val="23"/>
        </w:rPr>
        <w:t xml:space="preserve">rrangement entered into by the unlisted </w:t>
      </w:r>
      <w:r w:rsidR="00372EC4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 xml:space="preserve">ubsidiary </w:t>
      </w:r>
      <w:r w:rsidR="00372EC4" w:rsidRPr="008B5BA8">
        <w:rPr>
          <w:rFonts w:ascii="Arial Narrow" w:hAnsi="Arial Narrow"/>
          <w:sz w:val="23"/>
          <w:szCs w:val="23"/>
        </w:rPr>
        <w:t>C</w:t>
      </w:r>
      <w:r w:rsidRPr="008B5BA8">
        <w:rPr>
          <w:rFonts w:ascii="Arial Narrow" w:hAnsi="Arial Narrow"/>
          <w:sz w:val="23"/>
          <w:szCs w:val="23"/>
        </w:rPr>
        <w:t>ompany.</w:t>
      </w:r>
    </w:p>
    <w:p w:rsidR="00F232F2" w:rsidRPr="008B5BA8" w:rsidRDefault="00F232F2" w:rsidP="00B7083D">
      <w:pPr>
        <w:pStyle w:val="ListParagraph"/>
        <w:ind w:hanging="450"/>
        <w:rPr>
          <w:rFonts w:ascii="Arial Narrow" w:hAnsi="Arial Narrow"/>
          <w:sz w:val="23"/>
          <w:szCs w:val="23"/>
        </w:rPr>
      </w:pPr>
    </w:p>
    <w:p w:rsidR="00F232F2" w:rsidRPr="008B5BA8" w:rsidRDefault="00F232F2" w:rsidP="008B5BA8">
      <w:pPr>
        <w:pStyle w:val="ListParagraph"/>
        <w:numPr>
          <w:ilvl w:val="0"/>
          <w:numId w:val="13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Other compliances as may be required by the Listing </w:t>
      </w:r>
      <w:r w:rsidR="009A78A9">
        <w:rPr>
          <w:rFonts w:ascii="Arial Narrow" w:hAnsi="Arial Narrow"/>
          <w:sz w:val="23"/>
          <w:szCs w:val="23"/>
        </w:rPr>
        <w:t>Regulations</w:t>
      </w:r>
      <w:r w:rsidR="004D67D1" w:rsidRPr="008B5BA8">
        <w:rPr>
          <w:rFonts w:ascii="Arial Narrow" w:hAnsi="Arial Narrow"/>
          <w:sz w:val="23"/>
          <w:szCs w:val="23"/>
        </w:rPr>
        <w:t>,</w:t>
      </w:r>
      <w:r w:rsidRPr="008B5BA8">
        <w:rPr>
          <w:rFonts w:ascii="Arial Narrow" w:hAnsi="Arial Narrow"/>
          <w:sz w:val="23"/>
          <w:szCs w:val="23"/>
        </w:rPr>
        <w:t xml:space="preserve"> </w:t>
      </w:r>
      <w:r w:rsidR="004D67D1" w:rsidRPr="008B5BA8">
        <w:rPr>
          <w:rFonts w:ascii="Arial Narrow" w:hAnsi="Arial Narrow"/>
          <w:sz w:val="23"/>
          <w:szCs w:val="23"/>
        </w:rPr>
        <w:t>the Act or any other applicable law.</w:t>
      </w:r>
    </w:p>
    <w:p w:rsidR="00A37438" w:rsidRPr="008B5BA8" w:rsidRDefault="00A37438" w:rsidP="00C27FCF">
      <w:pPr>
        <w:spacing w:after="0" w:line="360" w:lineRule="auto"/>
        <w:ind w:hanging="720"/>
        <w:jc w:val="both"/>
        <w:rPr>
          <w:rFonts w:ascii="Arial Narrow" w:hAnsi="Arial Narrow"/>
          <w:sz w:val="23"/>
          <w:szCs w:val="23"/>
        </w:rPr>
      </w:pPr>
    </w:p>
    <w:p w:rsidR="00927A28" w:rsidRPr="008B5BA8" w:rsidRDefault="00927A28" w:rsidP="00B7083D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Disposal of Material Subsidiary:</w:t>
      </w:r>
    </w:p>
    <w:p w:rsidR="00E32CD9" w:rsidRPr="008B5BA8" w:rsidRDefault="00E32CD9" w:rsidP="00C27FCF">
      <w:pPr>
        <w:pStyle w:val="ListParagraph"/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</w:p>
    <w:p w:rsidR="00927A28" w:rsidRPr="008B5BA8" w:rsidRDefault="00927A28" w:rsidP="00D05259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>The Company, without passing a special resolution in its General Meeting, shall not:</w:t>
      </w:r>
    </w:p>
    <w:p w:rsidR="00927A28" w:rsidRPr="008B5BA8" w:rsidRDefault="00927A28" w:rsidP="008B5BA8">
      <w:pPr>
        <w:pStyle w:val="ListParagraph"/>
        <w:numPr>
          <w:ilvl w:val="0"/>
          <w:numId w:val="14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lastRenderedPageBreak/>
        <w:t>dispose shares in Material Subsidiar</w:t>
      </w:r>
      <w:r w:rsidR="00F232F2" w:rsidRPr="008B5BA8">
        <w:rPr>
          <w:rFonts w:ascii="Arial Narrow" w:hAnsi="Arial Narrow"/>
          <w:sz w:val="23"/>
          <w:szCs w:val="23"/>
        </w:rPr>
        <w:t>y</w:t>
      </w:r>
      <w:r w:rsidRPr="008B5BA8">
        <w:rPr>
          <w:rFonts w:ascii="Arial Narrow" w:hAnsi="Arial Narrow"/>
          <w:sz w:val="23"/>
          <w:szCs w:val="23"/>
        </w:rPr>
        <w:t xml:space="preserve"> that reduces its shareholding (either on its own or together with other subsidiaries) to less than 50%</w:t>
      </w:r>
      <w:r w:rsidR="00A37438" w:rsidRPr="008B5BA8">
        <w:rPr>
          <w:rFonts w:ascii="Arial Narrow" w:hAnsi="Arial Narrow"/>
          <w:sz w:val="23"/>
          <w:szCs w:val="23"/>
        </w:rPr>
        <w:t xml:space="preserve"> except in cases where such divestment is made under a scheme of arrangement duly approved by a Court/Tribunal</w:t>
      </w:r>
      <w:r w:rsidR="00F737DD" w:rsidRPr="008B5BA8">
        <w:rPr>
          <w:rFonts w:ascii="Arial Narrow" w:hAnsi="Arial Narrow"/>
          <w:sz w:val="23"/>
          <w:szCs w:val="23"/>
        </w:rPr>
        <w:t>; or</w:t>
      </w:r>
    </w:p>
    <w:p w:rsidR="008B5BA8" w:rsidRPr="008B5BA8" w:rsidRDefault="008B5BA8" w:rsidP="008B5BA8">
      <w:pPr>
        <w:pStyle w:val="ListParagraph"/>
        <w:spacing w:after="0" w:line="360" w:lineRule="auto"/>
        <w:ind w:left="1440"/>
        <w:jc w:val="both"/>
        <w:rPr>
          <w:rFonts w:ascii="Arial Narrow" w:hAnsi="Arial Narrow"/>
          <w:sz w:val="23"/>
          <w:szCs w:val="23"/>
        </w:rPr>
      </w:pPr>
    </w:p>
    <w:p w:rsidR="00F737DD" w:rsidRPr="008B5BA8" w:rsidRDefault="009E19C8" w:rsidP="008B5BA8">
      <w:pPr>
        <w:pStyle w:val="ListParagraph"/>
        <w:numPr>
          <w:ilvl w:val="0"/>
          <w:numId w:val="14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dispose shares in the </w:t>
      </w:r>
      <w:r w:rsidR="00F232F2" w:rsidRPr="008B5BA8">
        <w:rPr>
          <w:rFonts w:ascii="Arial Narrow" w:hAnsi="Arial Narrow"/>
          <w:sz w:val="23"/>
          <w:szCs w:val="23"/>
        </w:rPr>
        <w:t>M</w:t>
      </w:r>
      <w:r w:rsidRPr="008B5BA8">
        <w:rPr>
          <w:rFonts w:ascii="Arial Narrow" w:hAnsi="Arial Narrow"/>
          <w:sz w:val="23"/>
          <w:szCs w:val="23"/>
        </w:rPr>
        <w:t xml:space="preserve">aterial </w:t>
      </w:r>
      <w:r w:rsidR="00F232F2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>ubsidiary which would cease the exercise of</w:t>
      </w:r>
      <w:r w:rsidR="00C27FCF" w:rsidRPr="008B5BA8">
        <w:rPr>
          <w:rFonts w:ascii="Arial Narrow" w:hAnsi="Arial Narrow"/>
          <w:sz w:val="23"/>
          <w:szCs w:val="23"/>
        </w:rPr>
        <w:t xml:space="preserve"> </w:t>
      </w:r>
      <w:r w:rsidRPr="008B5BA8">
        <w:rPr>
          <w:rFonts w:ascii="Arial Narrow" w:hAnsi="Arial Narrow"/>
          <w:sz w:val="23"/>
          <w:szCs w:val="23"/>
        </w:rPr>
        <w:t xml:space="preserve">control over </w:t>
      </w:r>
      <w:r w:rsidR="00F232F2" w:rsidRPr="008B5BA8">
        <w:rPr>
          <w:rFonts w:ascii="Arial Narrow" w:hAnsi="Arial Narrow"/>
          <w:sz w:val="23"/>
          <w:szCs w:val="23"/>
        </w:rPr>
        <w:t>such</w:t>
      </w:r>
      <w:r w:rsidRPr="008B5BA8">
        <w:rPr>
          <w:rFonts w:ascii="Arial Narrow" w:hAnsi="Arial Narrow"/>
          <w:sz w:val="23"/>
          <w:szCs w:val="23"/>
        </w:rPr>
        <w:t xml:space="preserve"> </w:t>
      </w:r>
      <w:r w:rsidR="00F232F2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>ubsidiary</w:t>
      </w:r>
      <w:r w:rsidR="00F232F2" w:rsidRPr="008B5BA8">
        <w:rPr>
          <w:rFonts w:ascii="Arial Narrow" w:hAnsi="Arial Narrow"/>
          <w:sz w:val="23"/>
          <w:szCs w:val="23"/>
        </w:rPr>
        <w:t xml:space="preserve"> except in cases where such divestment is made under a scheme of arrangement duly approved by a Court/Tribunal</w:t>
      </w:r>
      <w:r w:rsidR="00F737DD" w:rsidRPr="008B5BA8">
        <w:rPr>
          <w:rFonts w:ascii="Arial Narrow" w:hAnsi="Arial Narrow"/>
          <w:sz w:val="23"/>
          <w:szCs w:val="23"/>
        </w:rPr>
        <w:t>; or</w:t>
      </w:r>
    </w:p>
    <w:p w:rsidR="008B5BA8" w:rsidRPr="008B5BA8" w:rsidRDefault="008B5BA8" w:rsidP="008B5BA8">
      <w:pPr>
        <w:pStyle w:val="ListParagraph"/>
        <w:rPr>
          <w:rFonts w:ascii="Arial Narrow" w:hAnsi="Arial Narrow"/>
          <w:sz w:val="23"/>
          <w:szCs w:val="23"/>
        </w:rPr>
      </w:pPr>
    </w:p>
    <w:p w:rsidR="00F737DD" w:rsidRPr="008B5BA8" w:rsidRDefault="00F737DD" w:rsidP="008B5BA8">
      <w:pPr>
        <w:pStyle w:val="ListParagraph"/>
        <w:numPr>
          <w:ilvl w:val="0"/>
          <w:numId w:val="14"/>
        </w:numPr>
        <w:spacing w:after="0" w:line="360" w:lineRule="auto"/>
        <w:ind w:left="1440" w:hanging="720"/>
        <w:jc w:val="both"/>
        <w:rPr>
          <w:rFonts w:ascii="Arial Narrow" w:hAnsi="Arial Narrow"/>
          <w:sz w:val="23"/>
          <w:szCs w:val="23"/>
        </w:rPr>
      </w:pPr>
      <w:proofErr w:type="gramStart"/>
      <w:r w:rsidRPr="008B5BA8">
        <w:rPr>
          <w:rFonts w:ascii="Arial Narrow" w:hAnsi="Arial Narrow"/>
          <w:sz w:val="23"/>
          <w:szCs w:val="23"/>
        </w:rPr>
        <w:t>sell</w:t>
      </w:r>
      <w:proofErr w:type="gramEnd"/>
      <w:r w:rsidRPr="008B5BA8">
        <w:rPr>
          <w:rFonts w:ascii="Arial Narrow" w:hAnsi="Arial Narrow"/>
          <w:sz w:val="23"/>
          <w:szCs w:val="23"/>
        </w:rPr>
        <w:t xml:space="preserve">, dispose or lease the assets amounting to more than twenty percent (20%) of the assets of the </w:t>
      </w:r>
      <w:r w:rsidR="00F232F2" w:rsidRPr="008B5BA8">
        <w:rPr>
          <w:rFonts w:ascii="Arial Narrow" w:hAnsi="Arial Narrow"/>
          <w:sz w:val="23"/>
          <w:szCs w:val="23"/>
        </w:rPr>
        <w:t>M</w:t>
      </w:r>
      <w:r w:rsidRPr="008B5BA8">
        <w:rPr>
          <w:rFonts w:ascii="Arial Narrow" w:hAnsi="Arial Narrow"/>
          <w:sz w:val="23"/>
          <w:szCs w:val="23"/>
        </w:rPr>
        <w:t xml:space="preserve">aterial </w:t>
      </w:r>
      <w:r w:rsidR="00F232F2" w:rsidRPr="008B5BA8">
        <w:rPr>
          <w:rFonts w:ascii="Arial Narrow" w:hAnsi="Arial Narrow"/>
          <w:sz w:val="23"/>
          <w:szCs w:val="23"/>
        </w:rPr>
        <w:t>S</w:t>
      </w:r>
      <w:r w:rsidRPr="008B5BA8">
        <w:rPr>
          <w:rFonts w:ascii="Arial Narrow" w:hAnsi="Arial Narrow"/>
          <w:sz w:val="23"/>
          <w:szCs w:val="23"/>
        </w:rPr>
        <w:t>ubsidiary on an aggregate basis during a financial year unless the sale/disposal/lease is made under a scheme of arrangement duly approved by a Court/Tribunal.</w:t>
      </w:r>
    </w:p>
    <w:p w:rsidR="00F737DD" w:rsidRPr="008B5BA8" w:rsidRDefault="00F737DD" w:rsidP="00C27FCF">
      <w:pPr>
        <w:pStyle w:val="ListParagraph"/>
        <w:spacing w:after="0" w:line="360" w:lineRule="auto"/>
        <w:ind w:left="1080" w:hanging="720"/>
        <w:jc w:val="both"/>
        <w:rPr>
          <w:rFonts w:ascii="Arial Narrow" w:hAnsi="Arial Narrow"/>
          <w:sz w:val="23"/>
          <w:szCs w:val="23"/>
        </w:rPr>
      </w:pPr>
    </w:p>
    <w:p w:rsidR="00F737DD" w:rsidRPr="008B5BA8" w:rsidRDefault="00F737DD" w:rsidP="005D3695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Disclosure:</w:t>
      </w:r>
    </w:p>
    <w:p w:rsidR="00D05259" w:rsidRPr="008B5BA8" w:rsidRDefault="00D05259" w:rsidP="00D05259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</w:p>
    <w:p w:rsidR="00E32CD9" w:rsidRPr="008B5BA8" w:rsidRDefault="00F737DD" w:rsidP="00D05259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 xml:space="preserve">As prescribed under the revised </w:t>
      </w:r>
      <w:r w:rsidR="0020090F">
        <w:rPr>
          <w:rFonts w:ascii="Arial Narrow" w:hAnsi="Arial Narrow"/>
          <w:sz w:val="23"/>
          <w:szCs w:val="23"/>
        </w:rPr>
        <w:t>Regulation 46</w:t>
      </w:r>
      <w:r w:rsidR="0037337C">
        <w:rPr>
          <w:rFonts w:ascii="Arial Narrow" w:hAnsi="Arial Narrow"/>
          <w:sz w:val="23"/>
          <w:szCs w:val="23"/>
        </w:rPr>
        <w:t>(h)</w:t>
      </w:r>
      <w:r w:rsidRPr="008B5BA8">
        <w:rPr>
          <w:rFonts w:ascii="Arial Narrow" w:hAnsi="Arial Narrow"/>
          <w:sz w:val="23"/>
          <w:szCs w:val="23"/>
        </w:rPr>
        <w:t xml:space="preserve"> </w:t>
      </w:r>
      <w:r w:rsidR="00EE34B4">
        <w:rPr>
          <w:rFonts w:ascii="Arial Narrow" w:hAnsi="Arial Narrow"/>
          <w:sz w:val="23"/>
          <w:szCs w:val="23"/>
        </w:rPr>
        <w:t>and Schedule V(c)-</w:t>
      </w:r>
      <w:r w:rsidR="009A78A9">
        <w:rPr>
          <w:rFonts w:ascii="Arial Narrow" w:hAnsi="Arial Narrow"/>
          <w:sz w:val="23"/>
          <w:szCs w:val="23"/>
        </w:rPr>
        <w:t xml:space="preserve">(10)(e) </w:t>
      </w:r>
      <w:r w:rsidRPr="008B5BA8">
        <w:rPr>
          <w:rFonts w:ascii="Arial Narrow" w:hAnsi="Arial Narrow"/>
          <w:sz w:val="23"/>
          <w:szCs w:val="23"/>
        </w:rPr>
        <w:t xml:space="preserve">of the Listing </w:t>
      </w:r>
      <w:r w:rsidR="0037337C">
        <w:rPr>
          <w:rFonts w:ascii="Arial Narrow" w:hAnsi="Arial Narrow"/>
          <w:sz w:val="23"/>
          <w:szCs w:val="23"/>
        </w:rPr>
        <w:t>Regulations,</w:t>
      </w:r>
      <w:r w:rsidRPr="008B5BA8">
        <w:rPr>
          <w:rFonts w:ascii="Arial Narrow" w:hAnsi="Arial Narrow"/>
          <w:sz w:val="23"/>
          <w:szCs w:val="23"/>
        </w:rPr>
        <w:t xml:space="preserve"> this Policy shall be disclosed on the company's website and a web link thereto </w:t>
      </w:r>
      <w:proofErr w:type="spellStart"/>
      <w:r w:rsidRPr="008B5BA8">
        <w:rPr>
          <w:rFonts w:ascii="Arial Narrow" w:hAnsi="Arial Narrow"/>
          <w:sz w:val="23"/>
          <w:szCs w:val="23"/>
        </w:rPr>
        <w:t>sh</w:t>
      </w:r>
      <w:r w:rsidR="009A78A9">
        <w:rPr>
          <w:rFonts w:ascii="Arial Narrow" w:hAnsi="Arial Narrow"/>
          <w:sz w:val="23"/>
          <w:szCs w:val="23"/>
        </w:rPr>
        <w:t>f</w:t>
      </w:r>
      <w:r w:rsidRPr="008B5BA8">
        <w:rPr>
          <w:rFonts w:ascii="Arial Narrow" w:hAnsi="Arial Narrow"/>
          <w:sz w:val="23"/>
          <w:szCs w:val="23"/>
        </w:rPr>
        <w:t>all</w:t>
      </w:r>
      <w:proofErr w:type="spellEnd"/>
      <w:r w:rsidRPr="008B5BA8">
        <w:rPr>
          <w:rFonts w:ascii="Arial Narrow" w:hAnsi="Arial Narrow"/>
          <w:sz w:val="23"/>
          <w:szCs w:val="23"/>
        </w:rPr>
        <w:t xml:space="preserve"> b</w:t>
      </w:r>
      <w:r w:rsidR="00D05259" w:rsidRPr="008B5BA8">
        <w:rPr>
          <w:rFonts w:ascii="Arial Narrow" w:hAnsi="Arial Narrow"/>
          <w:sz w:val="23"/>
          <w:szCs w:val="23"/>
        </w:rPr>
        <w:t>e provided in the Annual Report.</w:t>
      </w:r>
    </w:p>
    <w:p w:rsidR="00E32CD9" w:rsidRPr="008B5BA8" w:rsidRDefault="00E32CD9" w:rsidP="00C27FCF">
      <w:pPr>
        <w:pStyle w:val="ListParagraph"/>
        <w:spacing w:after="0" w:line="360" w:lineRule="auto"/>
        <w:ind w:hanging="720"/>
        <w:jc w:val="both"/>
        <w:rPr>
          <w:rFonts w:ascii="Arial Narrow" w:hAnsi="Arial Narrow"/>
          <w:sz w:val="23"/>
          <w:szCs w:val="23"/>
        </w:rPr>
      </w:pPr>
    </w:p>
    <w:p w:rsidR="009E19C8" w:rsidRPr="008B5BA8" w:rsidRDefault="009E19C8" w:rsidP="005D3695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Scope and Limitation:</w:t>
      </w:r>
    </w:p>
    <w:p w:rsidR="00F806B1" w:rsidRPr="008B5BA8" w:rsidRDefault="00F806B1" w:rsidP="00C27FCF">
      <w:pPr>
        <w:pStyle w:val="ListParagraph"/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</w:p>
    <w:p w:rsidR="00EF5094" w:rsidRPr="008B5BA8" w:rsidRDefault="009E19C8" w:rsidP="00EF5094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>In the event of any conflict between the provisions of this Policy and the Listing</w:t>
      </w:r>
      <w:r w:rsidR="00F806B1" w:rsidRPr="008B5BA8">
        <w:rPr>
          <w:rFonts w:ascii="Arial Narrow" w:hAnsi="Arial Narrow"/>
          <w:sz w:val="23"/>
          <w:szCs w:val="23"/>
        </w:rPr>
        <w:t xml:space="preserve"> </w:t>
      </w:r>
      <w:r w:rsidR="009A78A9">
        <w:rPr>
          <w:rFonts w:ascii="Arial Narrow" w:hAnsi="Arial Narrow"/>
          <w:sz w:val="23"/>
          <w:szCs w:val="23"/>
        </w:rPr>
        <w:t>Regulations</w:t>
      </w:r>
      <w:r w:rsidRPr="008B5BA8">
        <w:rPr>
          <w:rFonts w:ascii="Arial Narrow" w:hAnsi="Arial Narrow"/>
          <w:sz w:val="23"/>
          <w:szCs w:val="23"/>
        </w:rPr>
        <w:t xml:space="preserve"> / Companies Act, 2013 or</w:t>
      </w:r>
      <w:r w:rsidR="00C27FCF" w:rsidRPr="008B5BA8">
        <w:rPr>
          <w:rFonts w:ascii="Arial Narrow" w:hAnsi="Arial Narrow"/>
          <w:sz w:val="23"/>
          <w:szCs w:val="23"/>
        </w:rPr>
        <w:t xml:space="preserve"> any other statutory enactments or</w:t>
      </w:r>
      <w:r w:rsidRPr="008B5BA8">
        <w:rPr>
          <w:rFonts w:ascii="Arial Narrow" w:hAnsi="Arial Narrow"/>
          <w:sz w:val="23"/>
          <w:szCs w:val="23"/>
        </w:rPr>
        <w:t xml:space="preserve"> rules, the</w:t>
      </w:r>
      <w:r w:rsidR="00F806B1" w:rsidRPr="008B5BA8">
        <w:rPr>
          <w:rFonts w:ascii="Arial Narrow" w:hAnsi="Arial Narrow"/>
          <w:sz w:val="23"/>
          <w:szCs w:val="23"/>
        </w:rPr>
        <w:t xml:space="preserve"> </w:t>
      </w:r>
      <w:r w:rsidRPr="008B5BA8">
        <w:rPr>
          <w:rFonts w:ascii="Arial Narrow" w:hAnsi="Arial Narrow"/>
          <w:sz w:val="23"/>
          <w:szCs w:val="23"/>
        </w:rPr>
        <w:t xml:space="preserve">provisions of such Listing </w:t>
      </w:r>
      <w:r w:rsidR="009A78A9">
        <w:rPr>
          <w:rFonts w:ascii="Arial Narrow" w:hAnsi="Arial Narrow"/>
          <w:sz w:val="23"/>
          <w:szCs w:val="23"/>
        </w:rPr>
        <w:t>Regulations</w:t>
      </w:r>
      <w:r w:rsidRPr="008B5BA8">
        <w:rPr>
          <w:rFonts w:ascii="Arial Narrow" w:hAnsi="Arial Narrow"/>
          <w:sz w:val="23"/>
          <w:szCs w:val="23"/>
        </w:rPr>
        <w:t xml:space="preserve"> / Companies Ac</w:t>
      </w:r>
      <w:r w:rsidR="00C27FCF" w:rsidRPr="008B5BA8">
        <w:rPr>
          <w:rFonts w:ascii="Arial Narrow" w:hAnsi="Arial Narrow"/>
          <w:sz w:val="23"/>
          <w:szCs w:val="23"/>
        </w:rPr>
        <w:t xml:space="preserve">t, 2013 or statutory enactments or </w:t>
      </w:r>
      <w:r w:rsidRPr="008B5BA8">
        <w:rPr>
          <w:rFonts w:ascii="Arial Narrow" w:hAnsi="Arial Narrow"/>
          <w:sz w:val="23"/>
          <w:szCs w:val="23"/>
        </w:rPr>
        <w:t>rules shall prevail over this Policy.</w:t>
      </w:r>
    </w:p>
    <w:p w:rsidR="00EF5094" w:rsidRPr="008B5BA8" w:rsidRDefault="00EF5094" w:rsidP="00B128A7">
      <w:pPr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EF5094" w:rsidRPr="008B5BA8" w:rsidRDefault="00EF5094" w:rsidP="005D3695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 xml:space="preserve">Review of Policy: </w:t>
      </w:r>
    </w:p>
    <w:p w:rsidR="00EF5094" w:rsidRPr="008B5BA8" w:rsidRDefault="005E01A0" w:rsidP="00EF5094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  <w:r w:rsidRPr="008B5BA8">
        <w:rPr>
          <w:rFonts w:ascii="Arial Narrow" w:hAnsi="Arial Narrow"/>
          <w:sz w:val="23"/>
          <w:szCs w:val="23"/>
        </w:rPr>
        <w:t>Based on the recommendation of the Audit Committee, t</w:t>
      </w:r>
      <w:r w:rsidR="00EF5094" w:rsidRPr="008B5BA8">
        <w:rPr>
          <w:rFonts w:ascii="Arial Narrow" w:hAnsi="Arial Narrow"/>
          <w:sz w:val="23"/>
          <w:szCs w:val="23"/>
        </w:rPr>
        <w:t xml:space="preserve">he Board may, </w:t>
      </w:r>
      <w:r w:rsidRPr="008B5BA8">
        <w:rPr>
          <w:rFonts w:ascii="Arial Narrow" w:hAnsi="Arial Narrow"/>
          <w:sz w:val="23"/>
          <w:szCs w:val="23"/>
        </w:rPr>
        <w:t xml:space="preserve">from time to time </w:t>
      </w:r>
      <w:r w:rsidR="00EF5094" w:rsidRPr="008B5BA8">
        <w:rPr>
          <w:rFonts w:ascii="Arial Narrow" w:hAnsi="Arial Narrow"/>
          <w:sz w:val="23"/>
          <w:szCs w:val="23"/>
        </w:rPr>
        <w:t>amend any provision(s) or substitute any of the provision(s) with the new provision(s) or replace the Policy entirely with a new Policy</w:t>
      </w:r>
      <w:r w:rsidRPr="008B5BA8">
        <w:rPr>
          <w:rFonts w:ascii="Arial Narrow" w:hAnsi="Arial Narrow"/>
          <w:sz w:val="23"/>
          <w:szCs w:val="23"/>
        </w:rPr>
        <w:t>, subject to the provisions of the applicable laws</w:t>
      </w:r>
      <w:r w:rsidR="00EF5094" w:rsidRPr="008B5BA8">
        <w:rPr>
          <w:rFonts w:ascii="Arial Narrow" w:hAnsi="Arial Narrow"/>
          <w:sz w:val="23"/>
          <w:szCs w:val="23"/>
        </w:rPr>
        <w:t>.</w:t>
      </w:r>
    </w:p>
    <w:p w:rsidR="00B128A7" w:rsidRPr="008B5BA8" w:rsidRDefault="00B128A7" w:rsidP="00C27FCF">
      <w:pPr>
        <w:pStyle w:val="ListParagraph"/>
        <w:spacing w:after="0" w:line="360" w:lineRule="auto"/>
        <w:jc w:val="both"/>
        <w:rPr>
          <w:rFonts w:ascii="Arial Narrow" w:hAnsi="Arial Narrow"/>
          <w:sz w:val="23"/>
          <w:szCs w:val="23"/>
        </w:rPr>
      </w:pPr>
    </w:p>
    <w:p w:rsidR="009E19C8" w:rsidRPr="008B5BA8" w:rsidRDefault="00B128A7" w:rsidP="00C27FCF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For DIL LIMITED</w:t>
      </w:r>
    </w:p>
    <w:p w:rsidR="00B128A7" w:rsidRPr="008B5BA8" w:rsidRDefault="00B128A7" w:rsidP="00C27FCF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</w:p>
    <w:p w:rsidR="00B128A7" w:rsidRPr="008B5BA8" w:rsidRDefault="00B128A7" w:rsidP="00C27FCF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</w:p>
    <w:p w:rsidR="00B128A7" w:rsidRPr="008B5BA8" w:rsidRDefault="00B128A7" w:rsidP="00C27FCF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SANJAY BUCH</w:t>
      </w:r>
    </w:p>
    <w:p w:rsidR="00B128A7" w:rsidRPr="008B5BA8" w:rsidRDefault="00B128A7" w:rsidP="00C27FCF">
      <w:pPr>
        <w:pStyle w:val="ListParagraph"/>
        <w:spacing w:after="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8B5BA8">
        <w:rPr>
          <w:rFonts w:ascii="Arial Narrow" w:hAnsi="Arial Narrow"/>
          <w:b/>
          <w:sz w:val="23"/>
          <w:szCs w:val="23"/>
        </w:rPr>
        <w:t>CHAIRMAN</w:t>
      </w:r>
    </w:p>
    <w:sectPr w:rsidR="00B128A7" w:rsidRPr="008B5BA8" w:rsidSect="00642300">
      <w:footerReference w:type="default" r:id="rId8"/>
      <w:pgSz w:w="11906" w:h="16838"/>
      <w:pgMar w:top="1440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58" w:rsidRDefault="00963658" w:rsidP="008B5BA8">
      <w:pPr>
        <w:spacing w:after="0" w:line="240" w:lineRule="auto"/>
      </w:pPr>
      <w:r>
        <w:separator/>
      </w:r>
    </w:p>
  </w:endnote>
  <w:endnote w:type="continuationSeparator" w:id="0">
    <w:p w:rsidR="00963658" w:rsidRDefault="00963658" w:rsidP="008B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49217583"/>
      <w:docPartObj>
        <w:docPartGallery w:val="Page Numbers (Bottom of Page)"/>
        <w:docPartUnique/>
      </w:docPartObj>
    </w:sdtPr>
    <w:sdtEndPr/>
    <w:sdtContent>
      <w:p w:rsidR="00963658" w:rsidRPr="008B5BA8" w:rsidRDefault="00963658">
        <w:pPr>
          <w:pStyle w:val="Footer"/>
          <w:jc w:val="center"/>
          <w:rPr>
            <w:rFonts w:ascii="Arial Narrow" w:hAnsi="Arial Narrow"/>
          </w:rPr>
        </w:pPr>
        <w:r w:rsidRPr="008B5BA8">
          <w:rPr>
            <w:rFonts w:ascii="Arial Narrow" w:hAnsi="Arial Narrow"/>
            <w:sz w:val="24"/>
            <w:szCs w:val="24"/>
          </w:rPr>
          <w:fldChar w:fldCharType="begin"/>
        </w:r>
        <w:r w:rsidRPr="008B5BA8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8B5BA8">
          <w:rPr>
            <w:rFonts w:ascii="Arial Narrow" w:hAnsi="Arial Narrow"/>
            <w:sz w:val="24"/>
            <w:szCs w:val="24"/>
          </w:rPr>
          <w:fldChar w:fldCharType="separate"/>
        </w:r>
        <w:r w:rsidR="006623ED">
          <w:rPr>
            <w:rFonts w:ascii="Arial Narrow" w:hAnsi="Arial Narrow"/>
            <w:noProof/>
            <w:sz w:val="24"/>
            <w:szCs w:val="24"/>
          </w:rPr>
          <w:t>2</w:t>
        </w:r>
        <w:r w:rsidRPr="008B5BA8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963658" w:rsidRDefault="00963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58" w:rsidRDefault="00963658" w:rsidP="008B5BA8">
      <w:pPr>
        <w:spacing w:after="0" w:line="240" w:lineRule="auto"/>
      </w:pPr>
      <w:r>
        <w:separator/>
      </w:r>
    </w:p>
  </w:footnote>
  <w:footnote w:type="continuationSeparator" w:id="0">
    <w:p w:rsidR="00963658" w:rsidRDefault="00963658" w:rsidP="008B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E9C"/>
    <w:multiLevelType w:val="hybridMultilevel"/>
    <w:tmpl w:val="6BC023BA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825"/>
    <w:multiLevelType w:val="hybridMultilevel"/>
    <w:tmpl w:val="36AEFEEE"/>
    <w:lvl w:ilvl="0" w:tplc="D312F162">
      <w:start w:val="1"/>
      <w:numFmt w:val="lowerRoman"/>
      <w:lvlText w:val="(%1)"/>
      <w:lvlJc w:val="left"/>
      <w:pPr>
        <w:ind w:left="786" w:hanging="360"/>
      </w:pPr>
      <w:rPr>
        <w:rFonts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300F70"/>
    <w:multiLevelType w:val="hybridMultilevel"/>
    <w:tmpl w:val="0882DC06"/>
    <w:lvl w:ilvl="0" w:tplc="6D36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A66EB"/>
    <w:multiLevelType w:val="hybridMultilevel"/>
    <w:tmpl w:val="4D9270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31895"/>
    <w:multiLevelType w:val="hybridMultilevel"/>
    <w:tmpl w:val="BA2230FE"/>
    <w:lvl w:ilvl="0" w:tplc="DF684D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838E9"/>
    <w:multiLevelType w:val="hybridMultilevel"/>
    <w:tmpl w:val="F152734C"/>
    <w:lvl w:ilvl="0" w:tplc="D312F162">
      <w:start w:val="1"/>
      <w:numFmt w:val="lowerRoman"/>
      <w:lvlText w:val="(%1)"/>
      <w:lvlJc w:val="left"/>
      <w:pPr>
        <w:ind w:left="709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B2B2BAD"/>
    <w:multiLevelType w:val="hybridMultilevel"/>
    <w:tmpl w:val="95D81F22"/>
    <w:lvl w:ilvl="0" w:tplc="C5BEA35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84407E"/>
    <w:multiLevelType w:val="hybridMultilevel"/>
    <w:tmpl w:val="DA5A501A"/>
    <w:lvl w:ilvl="0" w:tplc="D312F162">
      <w:start w:val="1"/>
      <w:numFmt w:val="lowerRoman"/>
      <w:lvlText w:val="(%1)"/>
      <w:lvlJc w:val="left"/>
      <w:pPr>
        <w:ind w:left="1080" w:hanging="360"/>
      </w:pPr>
      <w:rPr>
        <w:rFonts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009D9"/>
    <w:multiLevelType w:val="hybridMultilevel"/>
    <w:tmpl w:val="2A9CF98E"/>
    <w:lvl w:ilvl="0" w:tplc="0409001B">
      <w:start w:val="1"/>
      <w:numFmt w:val="lowerRoman"/>
      <w:lvlText w:val="%1."/>
      <w:lvlJc w:val="righ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73A1C87"/>
    <w:multiLevelType w:val="hybridMultilevel"/>
    <w:tmpl w:val="8E04CC8A"/>
    <w:lvl w:ilvl="0" w:tplc="57445E9C">
      <w:start w:val="1"/>
      <w:numFmt w:val="lowerRoman"/>
      <w:lvlText w:val="(%1)"/>
      <w:lvlJc w:val="left"/>
      <w:pPr>
        <w:ind w:left="1069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58BE2B56"/>
    <w:multiLevelType w:val="hybridMultilevel"/>
    <w:tmpl w:val="65608FB0"/>
    <w:lvl w:ilvl="0" w:tplc="113682EE">
      <w:start w:val="1"/>
      <w:numFmt w:val="lowerRoman"/>
      <w:lvlText w:val="(%1)"/>
      <w:lvlJc w:val="left"/>
      <w:pPr>
        <w:ind w:left="8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>
    <w:nsid w:val="673C268C"/>
    <w:multiLevelType w:val="hybridMultilevel"/>
    <w:tmpl w:val="7D049F5E"/>
    <w:lvl w:ilvl="0" w:tplc="8A881E58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39" w:hanging="360"/>
      </w:pPr>
    </w:lvl>
    <w:lvl w:ilvl="2" w:tplc="4009001B" w:tentative="1">
      <w:start w:val="1"/>
      <w:numFmt w:val="lowerRoman"/>
      <w:lvlText w:val="%3."/>
      <w:lvlJc w:val="right"/>
      <w:pPr>
        <w:ind w:left="2459" w:hanging="180"/>
      </w:pPr>
    </w:lvl>
    <w:lvl w:ilvl="3" w:tplc="4009000F" w:tentative="1">
      <w:start w:val="1"/>
      <w:numFmt w:val="decimal"/>
      <w:lvlText w:val="%4."/>
      <w:lvlJc w:val="left"/>
      <w:pPr>
        <w:ind w:left="3179" w:hanging="360"/>
      </w:pPr>
    </w:lvl>
    <w:lvl w:ilvl="4" w:tplc="40090019" w:tentative="1">
      <w:start w:val="1"/>
      <w:numFmt w:val="lowerLetter"/>
      <w:lvlText w:val="%5."/>
      <w:lvlJc w:val="left"/>
      <w:pPr>
        <w:ind w:left="3899" w:hanging="360"/>
      </w:pPr>
    </w:lvl>
    <w:lvl w:ilvl="5" w:tplc="4009001B" w:tentative="1">
      <w:start w:val="1"/>
      <w:numFmt w:val="lowerRoman"/>
      <w:lvlText w:val="%6."/>
      <w:lvlJc w:val="right"/>
      <w:pPr>
        <w:ind w:left="4619" w:hanging="180"/>
      </w:pPr>
    </w:lvl>
    <w:lvl w:ilvl="6" w:tplc="4009000F" w:tentative="1">
      <w:start w:val="1"/>
      <w:numFmt w:val="decimal"/>
      <w:lvlText w:val="%7."/>
      <w:lvlJc w:val="left"/>
      <w:pPr>
        <w:ind w:left="5339" w:hanging="360"/>
      </w:pPr>
    </w:lvl>
    <w:lvl w:ilvl="7" w:tplc="40090019" w:tentative="1">
      <w:start w:val="1"/>
      <w:numFmt w:val="lowerLetter"/>
      <w:lvlText w:val="%8."/>
      <w:lvlJc w:val="left"/>
      <w:pPr>
        <w:ind w:left="6059" w:hanging="360"/>
      </w:pPr>
    </w:lvl>
    <w:lvl w:ilvl="8" w:tplc="40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6C9D16D7"/>
    <w:multiLevelType w:val="hybridMultilevel"/>
    <w:tmpl w:val="1EB8C88E"/>
    <w:lvl w:ilvl="0" w:tplc="EA94C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9D52A19"/>
    <w:multiLevelType w:val="hybridMultilevel"/>
    <w:tmpl w:val="519AD024"/>
    <w:lvl w:ilvl="0" w:tplc="0409001B">
      <w:start w:val="1"/>
      <w:numFmt w:val="lowerRoman"/>
      <w:lvlText w:val="%1."/>
      <w:lvlJc w:val="righ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E1"/>
    <w:rsid w:val="000007E0"/>
    <w:rsid w:val="00014FBE"/>
    <w:rsid w:val="00025768"/>
    <w:rsid w:val="0006474A"/>
    <w:rsid w:val="00082ED3"/>
    <w:rsid w:val="000B1542"/>
    <w:rsid w:val="000B1E53"/>
    <w:rsid w:val="0011753E"/>
    <w:rsid w:val="001447CB"/>
    <w:rsid w:val="0015403C"/>
    <w:rsid w:val="001611CA"/>
    <w:rsid w:val="00163AAE"/>
    <w:rsid w:val="0020090F"/>
    <w:rsid w:val="00214D24"/>
    <w:rsid w:val="0022421A"/>
    <w:rsid w:val="00245C99"/>
    <w:rsid w:val="00250AE5"/>
    <w:rsid w:val="00264DD9"/>
    <w:rsid w:val="00286A89"/>
    <w:rsid w:val="002B7429"/>
    <w:rsid w:val="002F45E9"/>
    <w:rsid w:val="00342C1C"/>
    <w:rsid w:val="00345674"/>
    <w:rsid w:val="00372EC4"/>
    <w:rsid w:val="0037337C"/>
    <w:rsid w:val="0038670A"/>
    <w:rsid w:val="003A3804"/>
    <w:rsid w:val="003F09C2"/>
    <w:rsid w:val="00433503"/>
    <w:rsid w:val="004443D2"/>
    <w:rsid w:val="00486AE5"/>
    <w:rsid w:val="00492DA9"/>
    <w:rsid w:val="004D67D1"/>
    <w:rsid w:val="00553D92"/>
    <w:rsid w:val="005D3695"/>
    <w:rsid w:val="005E01A0"/>
    <w:rsid w:val="00624382"/>
    <w:rsid w:val="00642300"/>
    <w:rsid w:val="006601AD"/>
    <w:rsid w:val="006623ED"/>
    <w:rsid w:val="006F7F3C"/>
    <w:rsid w:val="00752182"/>
    <w:rsid w:val="0079644F"/>
    <w:rsid w:val="007D2890"/>
    <w:rsid w:val="008366AF"/>
    <w:rsid w:val="008570FD"/>
    <w:rsid w:val="008B5BA8"/>
    <w:rsid w:val="008F5AF1"/>
    <w:rsid w:val="008F6B3F"/>
    <w:rsid w:val="00927A28"/>
    <w:rsid w:val="009524C2"/>
    <w:rsid w:val="00963658"/>
    <w:rsid w:val="009A78A9"/>
    <w:rsid w:val="009B048F"/>
    <w:rsid w:val="009E19C8"/>
    <w:rsid w:val="00A06A46"/>
    <w:rsid w:val="00A37438"/>
    <w:rsid w:val="00A61FBD"/>
    <w:rsid w:val="00A65711"/>
    <w:rsid w:val="00B05CE1"/>
    <w:rsid w:val="00B06DB2"/>
    <w:rsid w:val="00B128A7"/>
    <w:rsid w:val="00B36833"/>
    <w:rsid w:val="00B7083D"/>
    <w:rsid w:val="00B71409"/>
    <w:rsid w:val="00BF13C8"/>
    <w:rsid w:val="00BF4039"/>
    <w:rsid w:val="00C00CE0"/>
    <w:rsid w:val="00C27FCF"/>
    <w:rsid w:val="00C95187"/>
    <w:rsid w:val="00CC7153"/>
    <w:rsid w:val="00D05259"/>
    <w:rsid w:val="00D83EEB"/>
    <w:rsid w:val="00D90336"/>
    <w:rsid w:val="00DF0053"/>
    <w:rsid w:val="00DF0FBF"/>
    <w:rsid w:val="00DF45AA"/>
    <w:rsid w:val="00E32CD9"/>
    <w:rsid w:val="00E53F83"/>
    <w:rsid w:val="00E55E0B"/>
    <w:rsid w:val="00E766CA"/>
    <w:rsid w:val="00EB2E8C"/>
    <w:rsid w:val="00EC433E"/>
    <w:rsid w:val="00EE34B4"/>
    <w:rsid w:val="00EF5094"/>
    <w:rsid w:val="00EF6E8B"/>
    <w:rsid w:val="00F10C5D"/>
    <w:rsid w:val="00F232F2"/>
    <w:rsid w:val="00F65505"/>
    <w:rsid w:val="00F737DD"/>
    <w:rsid w:val="00F806B1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BA8"/>
  </w:style>
  <w:style w:type="paragraph" w:styleId="Footer">
    <w:name w:val="footer"/>
    <w:basedOn w:val="Normal"/>
    <w:link w:val="FooterChar"/>
    <w:uiPriority w:val="99"/>
    <w:unhideWhenUsed/>
    <w:rsid w:val="008B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Gupte</dc:creator>
  <cp:lastModifiedBy>Sonia Gupte</cp:lastModifiedBy>
  <cp:revision>20</cp:revision>
  <cp:lastPrinted>2015-03-31T11:13:00Z</cp:lastPrinted>
  <dcterms:created xsi:type="dcterms:W3CDTF">2015-03-05T08:57:00Z</dcterms:created>
  <dcterms:modified xsi:type="dcterms:W3CDTF">2016-01-08T06:38:00Z</dcterms:modified>
</cp:coreProperties>
</file>